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p>
    <w:p>
      <w:pPr>
        <w:spacing w:after="200"/>
        <w:jc w:val="center"/>
      </w:pPr>
      <w:r>
        <w:rPr>
          <w:rFonts w:ascii="Arial" w:cs="Arial" w:eastAsia="Arial" w:hAnsi="Arial"/>
          <w:caps/>
          <w:color w:val="4A5568"/>
          <w:sz w:val="28"/>
          <w:szCs w:val="28"/>
        </w:rPr>
        <w:t xml:space="preserve">WHITE PAPER</w:t>
      </w:r>
    </w:p>
    <w:p>
      <w:pPr>
        <w:spacing w:after="400"/>
        <w:jc w:val="center"/>
      </w:pPr>
      <w:r>
        <w:rPr>
          <w:rFonts w:ascii="Arial" w:cs="Arial" w:eastAsia="Arial" w:hAnsi="Arial"/>
          <w:b/>
          <w:bCs/>
          <w:color w:val="1A365D"/>
          <w:sz w:val="56"/>
          <w:szCs w:val="56"/>
        </w:rPr>
        <w:t xml:space="preserve">From AI Assistance to AI Accountability</w:t>
      </w:r>
    </w:p>
    <w:p>
      <w:pPr>
        <w:spacing w:after="800"/>
        <w:jc w:val="center"/>
      </w:pPr>
      <w:r>
        <w:rPr>
          <w:rFonts w:ascii="Georgia" w:cs="Georgia" w:eastAsia="Georgia" w:hAnsi="Georgia"/>
          <w:i/>
          <w:iCs/>
          <w:color w:val="4A5568"/>
          <w:sz w:val="28"/>
          <w:szCs w:val="28"/>
        </w:rPr>
        <w:t xml:space="preserve">A Governance-First Architecture for AI-Assisted Software Development</w:t>
      </w:r>
    </w:p>
    <w:p>
      <w:pPr>
        <w:spacing w:after="1200"/>
      </w:pPr>
    </w:p>
    <w:p>
      <w:pPr>
        <w:spacing w:after="200"/>
        <w:jc w:val="center"/>
      </w:pPr>
      <w:r>
        <w:rPr>
          <w:rFonts w:ascii="Arial" w:cs="Arial" w:eastAsia="Arial" w:hAnsi="Arial"/>
          <w:color w:val="2D3748"/>
          <w:sz w:val="28"/>
          <w:szCs w:val="28"/>
        </w:rPr>
        <w:t xml:space="preserve">Charles Boswell</w:t>
      </w:r>
    </w:p>
    <w:p>
      <w:pPr>
        <w:spacing w:after="200"/>
        <w:jc w:val="center"/>
      </w:pPr>
      <w:r>
        <w:rPr>
          <w:rFonts w:ascii="Arial" w:cs="Arial" w:eastAsia="Arial" w:hAnsi="Arial"/>
          <w:color w:val="4A5568"/>
          <w:sz w:val="24"/>
          <w:szCs w:val="24"/>
        </w:rPr>
        <w:t xml:space="preserve">Founder, Boswell Digital Solutions LLC</w:t>
      </w:r>
    </w:p>
    <w:p>
      <w:pPr>
        <w:spacing w:after="600"/>
        <w:jc w:val="center"/>
      </w:pPr>
      <w:r>
        <w:rPr>
          <w:rFonts w:ascii="Arial" w:cs="Arial" w:eastAsia="Arial" w:hAnsi="Arial"/>
          <w:color w:val="4A5568"/>
          <w:sz w:val="24"/>
          <w:szCs w:val="24"/>
        </w:rPr>
        <w:t xml:space="preserve">February 2026</w:t>
      </w:r>
    </w:p>
    <w:p>
      <w:pPr>
        <w:spacing w:after="1600"/>
      </w:pPr>
    </w:p>
    <w:p>
      <w:pPr>
        <w:pBdr>
          <w:top w:val="single" w:color="E2E8F0" w:sz="1"/>
        </w:pBdr>
        <w:spacing w:before="400"/>
        <w:jc w:val="center"/>
      </w:pPr>
      <w:r>
        <w:rPr>
          <w:rFonts w:ascii="Arial" w:cs="Arial" w:eastAsia="Arial" w:hAnsi="Arial"/>
          <w:color w:val="4A5568"/>
          <w:sz w:val="20"/>
          <w:szCs w:val="20"/>
        </w:rPr>
        <w:t xml:space="preserve">Version 1.0</w:t>
      </w:r>
    </w:p>
    <w:p>
      <w:pPr>
        <w:sectPr>
          <w:pgSz w:w="12240" w:h="15840" w:orient="portrait"/>
          <w:pgMar w:top="2880" w:right="1440" w:bottom="1440" w:left="1440" w:header="708" w:footer="708" w:gutter="0"/>
          <w:pgNumType/>
          <w:docGrid w:linePitch="360"/>
        </w:sectPr>
      </w:pPr>
    </w:p>
    <w:p>
      <w:pPr>
        <w:pStyle w:val="Heading1"/>
        <w:spacing w:before="400" w:after="200"/>
      </w:pPr>
      <w:r>
        <w:rPr>
          <w:rFonts w:ascii="Arial" w:cs="Arial" w:eastAsia="Arial" w:hAnsi="Arial"/>
          <w:b/>
          <w:bCs/>
          <w:color w:val="1A365D"/>
          <w:sz w:val="36"/>
          <w:szCs w:val="36"/>
        </w:rPr>
        <w:t xml:space="preserve">Contents</w:t>
      </w:r>
    </w:p>
    <w:p>
      <w:pPr>
        <w:spacing w:after="300"/>
      </w:pPr>
    </w:p>
    <w:p>
      <w:pPr>
        <w:spacing w:after="120"/>
      </w:pPr>
      <w:r>
        <w:rPr>
          <w:rFonts w:ascii="Arial" w:cs="Arial" w:eastAsia="Arial" w:hAnsi="Arial"/>
          <w:color w:val="2D3748"/>
          <w:sz w:val="24"/>
          <w:szCs w:val="24"/>
        </w:rPr>
        <w:t xml:space="preserve">Executive Summary</w:t>
      </w:r>
    </w:p>
    <w:p>
      <w:pPr>
        <w:spacing w:after="120"/>
      </w:pPr>
      <w:r>
        <w:rPr>
          <w:rFonts w:ascii="Arial" w:cs="Arial" w:eastAsia="Arial" w:hAnsi="Arial"/>
          <w:color w:val="2D3748"/>
          <w:sz w:val="24"/>
          <w:szCs w:val="24"/>
        </w:rPr>
        <w:t xml:space="preserve">The Problem: Accountability in the Age of AI</w:t>
      </w:r>
    </w:p>
    <w:p>
      <w:pPr>
        <w:spacing w:after="80"/>
        <w:ind w:left="360"/>
      </w:pPr>
      <w:r>
        <w:rPr>
          <w:rFonts w:ascii="Arial" w:cs="Arial" w:eastAsia="Arial" w:hAnsi="Arial"/>
          <w:color w:val="4A5568"/>
          <w:sz w:val="22"/>
          <w:szCs w:val="22"/>
        </w:rPr>
        <w:t xml:space="preserve">What Organizations Cannot Do Today</w:t>
      </w:r>
    </w:p>
    <w:p>
      <w:pPr>
        <w:spacing w:after="120"/>
        <w:ind w:left="360"/>
      </w:pPr>
      <w:r>
        <w:rPr>
          <w:rFonts w:ascii="Arial" w:cs="Arial" w:eastAsia="Arial" w:hAnsi="Arial"/>
          <w:color w:val="4A5568"/>
          <w:sz w:val="22"/>
          <w:szCs w:val="22"/>
        </w:rPr>
        <w:t xml:space="preserve">The Consequences</w:t>
      </w:r>
    </w:p>
    <w:p>
      <w:pPr>
        <w:spacing w:after="120"/>
      </w:pPr>
      <w:r>
        <w:rPr>
          <w:rFonts w:ascii="Arial" w:cs="Arial" w:eastAsia="Arial" w:hAnsi="Arial"/>
          <w:color w:val="2D3748"/>
          <w:sz w:val="24"/>
          <w:szCs w:val="24"/>
        </w:rPr>
        <w:t xml:space="preserve">Why Existing Approaches Fail</w:t>
      </w:r>
    </w:p>
    <w:p>
      <w:pPr>
        <w:spacing w:after="120"/>
      </w:pPr>
      <w:r>
        <w:rPr>
          <w:rFonts w:ascii="Arial" w:cs="Arial" w:eastAsia="Arial" w:hAnsi="Arial"/>
          <w:color w:val="2D3748"/>
          <w:sz w:val="24"/>
          <w:szCs w:val="24"/>
        </w:rPr>
        <w:t xml:space="preserve">Design Principles</w:t>
      </w:r>
    </w:p>
    <w:p>
      <w:pPr>
        <w:spacing w:after="120"/>
      </w:pPr>
      <w:r>
        <w:rPr>
          <w:rFonts w:ascii="Arial" w:cs="Arial" w:eastAsia="Arial" w:hAnsi="Arial"/>
          <w:color w:val="2D3748"/>
          <w:sz w:val="24"/>
          <w:szCs w:val="24"/>
        </w:rPr>
        <w:t xml:space="preserve">The Forge Architecture</w:t>
      </w:r>
    </w:p>
    <w:p>
      <w:pPr>
        <w:spacing w:after="120"/>
      </w:pPr>
      <w:r>
        <w:rPr>
          <w:rFonts w:ascii="Arial" w:cs="Arial" w:eastAsia="Arial" w:hAnsi="Arial"/>
          <w:color w:val="2D3748"/>
          <w:sz w:val="24"/>
          <w:szCs w:val="24"/>
        </w:rPr>
        <w:t xml:space="preserve">Decision Replay and Time-Travel</w:t>
      </w:r>
    </w:p>
    <w:p>
      <w:pPr>
        <w:spacing w:after="120"/>
      </w:pPr>
      <w:r>
        <w:rPr>
          <w:rFonts w:ascii="Arial" w:cs="Arial" w:eastAsia="Arial" w:hAnsi="Arial"/>
          <w:color w:val="2D3748"/>
          <w:sz w:val="24"/>
          <w:szCs w:val="24"/>
        </w:rPr>
        <w:t xml:space="preserve">Governability as a Metric</w:t>
      </w:r>
    </w:p>
    <w:p>
      <w:pPr>
        <w:spacing w:after="120"/>
      </w:pPr>
      <w:r>
        <w:rPr>
          <w:rFonts w:ascii="Arial" w:cs="Arial" w:eastAsia="Arial" w:hAnsi="Arial"/>
          <w:color w:val="2D3748"/>
          <w:sz w:val="24"/>
          <w:szCs w:val="24"/>
        </w:rPr>
        <w:t xml:space="preserve">Implications by Stakeholder</w:t>
      </w:r>
    </w:p>
    <w:p>
      <w:pPr>
        <w:spacing w:after="120"/>
      </w:pPr>
      <w:r>
        <w:rPr>
          <w:rFonts w:ascii="Arial" w:cs="Arial" w:eastAsia="Arial" w:hAnsi="Arial"/>
          <w:color w:val="2D3748"/>
          <w:sz w:val="24"/>
          <w:szCs w:val="24"/>
        </w:rPr>
        <w:t xml:space="preserve">Conclusion</w:t>
      </w:r>
    </w:p>
    <w:p>
      <w:r>
        <w:br w:type="page"/>
      </w:r>
    </w:p>
    <w:p>
      <w:pPr>
        <w:pStyle w:val="Heading1"/>
        <w:spacing w:before="400" w:after="200"/>
      </w:pPr>
      <w:r>
        <w:rPr>
          <w:rFonts w:ascii="Arial" w:cs="Arial" w:eastAsia="Arial" w:hAnsi="Arial"/>
          <w:b/>
          <w:bCs/>
          <w:color w:val="1A365D"/>
          <w:sz w:val="36"/>
          <w:szCs w:val="36"/>
        </w:rPr>
        <w:t xml:space="preserve">Executive Summary</w:t>
      </w:r>
    </w:p>
    <w:p>
      <w:pPr>
        <w:spacing w:after="200" w:line="276"/>
      </w:pPr>
      <w:r>
        <w:rPr>
          <w:rFonts w:ascii="Georgia" w:cs="Georgia" w:eastAsia="Georgia" w:hAnsi="Georgia"/>
          <w:color w:val="2D3748"/>
          <w:sz w:val="24"/>
          <w:szCs w:val="24"/>
        </w:rPr>
        <w:t xml:space="preserve">Most organizations using AI in software development today cannot answer a fundamental question with confidence: Why did this change happen?</w:t>
      </w:r>
    </w:p>
    <w:p>
      <w:pPr>
        <w:spacing w:after="200" w:line="276"/>
      </w:pPr>
      <w:r>
        <w:rPr>
          <w:rFonts w:ascii="Georgia" w:cs="Georgia" w:eastAsia="Georgia" w:hAnsi="Georgia"/>
          <w:color w:val="2D3748"/>
          <w:sz w:val="24"/>
          <w:szCs w:val="24"/>
        </w:rPr>
        <w:t xml:space="preserve">They cannot answer it provably. They cannot answer it five years from now. They cannot answer it under cross-examination.</w:t>
      </w:r>
    </w:p>
    <w:p>
      <w:pPr>
        <w:spacing w:after="200" w:line="276"/>
      </w:pPr>
      <w:r>
        <w:rPr>
          <w:rFonts w:ascii="Georgia" w:cs="Georgia" w:eastAsia="Georgia" w:hAnsi="Georgia"/>
          <w:color w:val="2D3748"/>
          <w:sz w:val="24"/>
          <w:szCs w:val="24"/>
        </w:rPr>
        <w:t xml:space="preserve">This paper introduces a governance-first architecture for AI-assisted software development that addresses this accountability gap. The Forge ecosystem represents a new category of infrastructure that ensures every AI-assisted decision is authorized, recorded, and explainable.</w:t>
      </w:r>
    </w:p>
    <w:p>
      <w:pPr>
        <w:pBdr>
          <w:left w:val="single" w:color="3182CE" w:sz="24"/>
        </w:pBdr>
        <w:spacing w:before="200" w:after="200"/>
        <w:ind w:left="720" w:right="720"/>
      </w:pPr>
      <w:r>
        <w:rPr>
          <w:rFonts w:ascii="Georgia" w:cs="Georgia" w:eastAsia="Georgia" w:hAnsi="Georgia"/>
          <w:i/>
          <w:iCs/>
          <w:color w:val="4A5568"/>
          <w:sz w:val="24"/>
          <w:szCs w:val="24"/>
        </w:rPr>
        <w:t xml:space="preserve">Forge lets you move fast with AI—and prove, under oath if necessary, that every decision was authorized, recorded, and explainable.</w:t>
      </w:r>
    </w:p>
    <w:p>
      <w:pPr>
        <w:spacing w:after="200" w:line="276"/>
      </w:pPr>
      <w:r>
        <w:rPr>
          <w:rFonts w:ascii="Georgia" w:cs="Georgia" w:eastAsia="Georgia" w:hAnsi="Georgia"/>
          <w:color w:val="2D3748"/>
          <w:sz w:val="24"/>
          <w:szCs w:val="24"/>
        </w:rPr>
        <w:t xml:space="preserve">The core insight is simple: AI systems should propose, but never execute. Human authority must remain the decision point. And evidence must be audit-grade, not debugging-grade.</w:t>
      </w:r>
    </w:p>
    <w:p>
      <w:pPr>
        <w:spacing w:after="200" w:line="276"/>
      </w:pPr>
      <w:r>
        <w:rPr>
          <w:rFonts w:ascii="Georgia" w:cs="Georgia" w:eastAsia="Georgia" w:hAnsi="Georgia"/>
          <w:color w:val="2D3748"/>
          <w:sz w:val="24"/>
          <w:szCs w:val="24"/>
        </w:rPr>
        <w:t xml:space="preserve">This is not about slowing AI down. It is about making AI trustworthy at scale—so organizations can accelerate with confidence rather than anxiety.</w:t>
      </w:r>
    </w:p>
    <w:p>
      <w:r>
        <w:br w:type="page"/>
      </w:r>
    </w:p>
    <w:p>
      <w:pPr>
        <w:pStyle w:val="Heading1"/>
        <w:spacing w:before="400" w:after="200"/>
      </w:pPr>
      <w:r>
        <w:rPr>
          <w:rFonts w:ascii="Arial" w:cs="Arial" w:eastAsia="Arial" w:hAnsi="Arial"/>
          <w:b/>
          <w:bCs/>
          <w:color w:val="1A365D"/>
          <w:sz w:val="36"/>
          <w:szCs w:val="36"/>
        </w:rPr>
        <w:t xml:space="preserve">The Problem: Accountability in the Age of AI</w:t>
      </w:r>
    </w:p>
    <w:p>
      <w:pPr>
        <w:spacing w:after="200" w:line="276"/>
      </w:pPr>
      <w:r>
        <w:rPr>
          <w:rFonts w:ascii="Georgia" w:cs="Georgia" w:eastAsia="Georgia" w:hAnsi="Georgia"/>
          <w:color w:val="2D3748"/>
          <w:sz w:val="24"/>
          <w:szCs w:val="24"/>
        </w:rPr>
        <w:t xml:space="preserve">The adoption of AI in software development has created an accountability vacuum. Organizations are deploying AI-assisted code at unprecedented speed while losing the ability to explain, verify, or defend their engineering decisions.</w:t>
      </w:r>
    </w:p>
    <w:p>
      <w:pPr>
        <w:pStyle w:val="Heading2"/>
        <w:spacing w:before="300" w:after="200"/>
      </w:pPr>
      <w:r>
        <w:rPr>
          <w:rFonts w:ascii="Arial" w:cs="Arial" w:eastAsia="Arial" w:hAnsi="Arial"/>
          <w:b/>
          <w:bCs/>
          <w:color w:val="1A365D"/>
          <w:sz w:val="30"/>
          <w:szCs w:val="30"/>
        </w:rPr>
        <w:t xml:space="preserve">What Organizations Cannot Do Today</w:t>
      </w:r>
    </w:p>
    <w:p>
      <w:pPr>
        <w:spacing w:after="200" w:line="276"/>
      </w:pPr>
      <w:r>
        <w:rPr>
          <w:rFonts w:ascii="Georgia" w:cs="Georgia" w:eastAsia="Georgia" w:hAnsi="Georgia"/>
          <w:color w:val="2D3748"/>
          <w:sz w:val="24"/>
          <w:szCs w:val="24"/>
        </w:rPr>
        <w:t xml:space="preserve">Most engineering teams using AI assistance cannot:</w:t>
      </w:r>
    </w:p>
    <w:p>
      <w:pPr>
        <w:pStyle w:val="ListParagraph"/>
        <w:numPr>
          <w:ilvl w:val="0"/>
          <w:numId w:val="2"/>
        </w:numPr>
        <w:spacing w:after="120"/>
      </w:pPr>
      <w:r>
        <w:rPr>
          <w:rFonts w:ascii="Georgia" w:cs="Georgia" w:eastAsia="Georgia" w:hAnsi="Georgia"/>
          <w:color w:val="2D3748"/>
          <w:sz w:val="24"/>
          <w:szCs w:val="24"/>
        </w:rPr>
        <w:t xml:space="preserve">Explain why a specific approach was chosen over alternatives</w:t>
      </w:r>
    </w:p>
    <w:p>
      <w:pPr>
        <w:pStyle w:val="ListParagraph"/>
        <w:numPr>
          <w:ilvl w:val="0"/>
          <w:numId w:val="2"/>
        </w:numPr>
        <w:spacing w:after="120"/>
      </w:pPr>
      <w:r>
        <w:rPr>
          <w:rFonts w:ascii="Georgia" w:cs="Georgia" w:eastAsia="Georgia" w:hAnsi="Georgia"/>
          <w:color w:val="2D3748"/>
          <w:sz w:val="24"/>
          <w:szCs w:val="24"/>
        </w:rPr>
        <w:t xml:space="preserve">Prove that a human authorized a change before deployment</w:t>
      </w:r>
    </w:p>
    <w:p>
      <w:pPr>
        <w:pStyle w:val="ListParagraph"/>
        <w:numPr>
          <w:ilvl w:val="0"/>
          <w:numId w:val="2"/>
        </w:numPr>
        <w:spacing w:after="120"/>
      </w:pPr>
      <w:r>
        <w:rPr>
          <w:rFonts w:ascii="Georgia" w:cs="Georgia" w:eastAsia="Georgia" w:hAnsi="Georgia"/>
          <w:color w:val="2D3748"/>
          <w:sz w:val="24"/>
          <w:szCs w:val="24"/>
        </w:rPr>
        <w:t xml:space="preserve">Retrieve the reasoning behind decisions made months or years ago</w:t>
      </w:r>
    </w:p>
    <w:p>
      <w:pPr>
        <w:pStyle w:val="ListParagraph"/>
        <w:numPr>
          <w:ilvl w:val="0"/>
          <w:numId w:val="2"/>
        </w:numPr>
        <w:spacing w:after="120"/>
      </w:pPr>
      <w:r>
        <w:rPr>
          <w:rFonts w:ascii="Georgia" w:cs="Georgia" w:eastAsia="Georgia" w:hAnsi="Georgia"/>
          <w:color w:val="2D3748"/>
          <w:sz w:val="24"/>
          <w:szCs w:val="24"/>
        </w:rPr>
        <w:t xml:space="preserve">Demonstrate compliance with governance policies to auditors</w:t>
      </w:r>
    </w:p>
    <w:p>
      <w:pPr>
        <w:pStyle w:val="ListParagraph"/>
        <w:numPr>
          <w:ilvl w:val="0"/>
          <w:numId w:val="2"/>
        </w:numPr>
        <w:spacing w:after="200"/>
      </w:pPr>
      <w:r>
        <w:rPr>
          <w:rFonts w:ascii="Georgia" w:cs="Georgia" w:eastAsia="Georgia" w:hAnsi="Georgia"/>
          <w:color w:val="2D3748"/>
          <w:sz w:val="24"/>
          <w:szCs w:val="24"/>
        </w:rPr>
        <w:t xml:space="preserve">Maintain institutional memory as team members change</w:t>
      </w:r>
    </w:p>
    <w:p>
      <w:pPr>
        <w:pStyle w:val="Heading2"/>
        <w:spacing w:before="300" w:after="200"/>
      </w:pPr>
      <w:r>
        <w:rPr>
          <w:rFonts w:ascii="Arial" w:cs="Arial" w:eastAsia="Arial" w:hAnsi="Arial"/>
          <w:b/>
          <w:bCs/>
          <w:color w:val="1A365D"/>
          <w:sz w:val="30"/>
          <w:szCs w:val="30"/>
        </w:rPr>
        <w:t xml:space="preserve">The Consequences</w:t>
      </w:r>
    </w:p>
    <w:p>
      <w:pPr>
        <w:spacing w:after="200" w:line="276"/>
      </w:pPr>
      <w:r>
        <w:rPr>
          <w:rFonts w:ascii="Georgia" w:cs="Georgia" w:eastAsia="Georgia" w:hAnsi="Georgia"/>
          <w:color w:val="2D3748"/>
          <w:sz w:val="24"/>
          <w:szCs w:val="24"/>
        </w:rPr>
        <w:t xml:space="preserve">This accountability gap creates real business risk: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CCCCCC" w:sz="1"/>
              <w:left w:val="single" w:color="CCCCCC" w:sz="1"/>
              <w:bottom w:val="single" w:color="CCCCCC" w:sz="1"/>
              <w:right w:val="single" w:color="CCCCCC" w:sz="1"/>
            </w:tcBorders>
            <w:shd w:fill="1A365D" w:val="clear"/>
            <w:tcMar>
              <w:top w:type="dxa" w:w="100"/>
              <w:left w:type="dxa" w:w="120"/>
              <w:bottom w:type="dxa" w:w="100"/>
              <w:right w:type="dxa" w:w="120"/>
            </w:tcMar>
          </w:tcPr>
          <w:p>
            <w:r>
              <w:rPr>
                <w:rFonts w:ascii="Arial" w:cs="Arial" w:eastAsia="Arial" w:hAnsi="Arial"/>
                <w:b/>
                <w:bCs/>
                <w:color w:val="FFFFFF"/>
                <w:sz w:val="22"/>
                <w:szCs w:val="22"/>
              </w:rPr>
              <w:t xml:space="preserve">Risk Category</w:t>
            </w:r>
          </w:p>
        </w:tc>
        <w:tc>
          <w:tcPr>
            <w:tcW w:type="dxa" w:w="6360"/>
            <w:tcBorders>
              <w:top w:val="single" w:color="CCCCCC" w:sz="1"/>
              <w:left w:val="single" w:color="CCCCCC" w:sz="1"/>
              <w:bottom w:val="single" w:color="CCCCCC" w:sz="1"/>
              <w:right w:val="single" w:color="CCCCCC" w:sz="1"/>
            </w:tcBorders>
            <w:shd w:fill="1A365D" w:val="clear"/>
            <w:tcMar>
              <w:top w:type="dxa" w:w="100"/>
              <w:left w:type="dxa" w:w="120"/>
              <w:bottom w:type="dxa" w:w="100"/>
              <w:right w:type="dxa" w:w="120"/>
            </w:tcMar>
          </w:tcPr>
          <w:p>
            <w:r>
              <w:rPr>
                <w:rFonts w:ascii="Arial" w:cs="Arial" w:eastAsia="Arial" w:hAnsi="Arial"/>
                <w:b/>
                <w:bCs/>
                <w:color w:val="FFFFFF"/>
                <w:sz w:val="22"/>
                <w:szCs w:val="22"/>
              </w:rPr>
              <w:t xml:space="preserve">Impact</w:t>
            </w:r>
          </w:p>
        </w:tc>
      </w:tr>
      <w:tr>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Legal Exposure</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Inability to demonstrate due diligence in AI-assisted decisions</w:t>
            </w:r>
          </w:p>
        </w:tc>
      </w:tr>
      <w:tr>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Compliance Failure</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No audit trail satisfying regulatory requirements</w:t>
            </w:r>
          </w:p>
        </w:tc>
      </w:tr>
      <w:tr>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Knowledge Loss</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Institutional memory evaporates with personnel changes</w:t>
            </w:r>
          </w:p>
        </w:tc>
      </w:tr>
      <w:tr>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Incident Response</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Cannot determine root cause when AI-assisted code fails</w:t>
            </w:r>
          </w:p>
        </w:tc>
      </w:tr>
      <w:tr>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Trust Erosion</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Stakeholders lose confidence in engineering rigor</w:t>
            </w:r>
          </w:p>
        </w:tc>
      </w:tr>
    </w:tbl>
    <w:p>
      <w:pPr>
        <w:spacing w:after="200"/>
      </w:pPr>
    </w:p>
    <w:p>
      <w:r>
        <w:br w:type="page"/>
      </w:r>
    </w:p>
    <w:p>
      <w:pPr>
        <w:pStyle w:val="Heading1"/>
        <w:spacing w:before="400" w:after="200"/>
      </w:pPr>
      <w:r>
        <w:rPr>
          <w:rFonts w:ascii="Arial" w:cs="Arial" w:eastAsia="Arial" w:hAnsi="Arial"/>
          <w:b/>
          <w:bCs/>
          <w:color w:val="1A365D"/>
          <w:sz w:val="36"/>
          <w:szCs w:val="36"/>
        </w:rPr>
        <w:t xml:space="preserve">Why Existing Approaches Fail</w:t>
      </w:r>
    </w:p>
    <w:p>
      <w:pPr>
        <w:spacing w:after="200" w:line="276"/>
      </w:pPr>
      <w:r>
        <w:rPr>
          <w:rFonts w:ascii="Georgia" w:cs="Georgia" w:eastAsia="Georgia" w:hAnsi="Georgia"/>
          <w:color w:val="2D3748"/>
          <w:sz w:val="24"/>
          <w:szCs w:val="24"/>
        </w:rPr>
        <w:t xml:space="preserve">Current attempts to address AI accountability fall short because they confuse adjacent concepts with actual governance.</w:t>
      </w:r>
    </w:p>
    <w:p>
      <w:pPr>
        <w:pStyle w:val="Heading2"/>
        <w:spacing w:before="300" w:after="200"/>
      </w:pPr>
      <w:r>
        <w:rPr>
          <w:rFonts w:ascii="Arial" w:cs="Arial" w:eastAsia="Arial" w:hAnsi="Arial"/>
          <w:b/>
          <w:bCs/>
          <w:color w:val="1A365D"/>
          <w:sz w:val="30"/>
          <w:szCs w:val="30"/>
        </w:rPr>
        <w:t xml:space="preserve">Logs Are Not Evidence</w:t>
      </w:r>
    </w:p>
    <w:p>
      <w:pPr>
        <w:spacing w:after="200" w:line="276"/>
      </w:pPr>
      <w:r>
        <w:rPr>
          <w:rFonts w:ascii="Georgia" w:cs="Georgia" w:eastAsia="Georgia" w:hAnsi="Georgia"/>
          <w:color w:val="2D3748"/>
          <w:sz w:val="24"/>
          <w:szCs w:val="24"/>
        </w:rPr>
        <w:t xml:space="preserve">Application logs capture what happened but lack the properties required for governance:</w:t>
      </w:r>
    </w:p>
    <w:p>
      <w:pPr>
        <w:pStyle w:val="ListParagraph"/>
        <w:numPr>
          <w:ilvl w:val="0"/>
          <w:numId w:val="2"/>
        </w:numPr>
        <w:spacing w:after="120"/>
      </w:pPr>
      <w:r>
        <w:rPr>
          <w:rFonts w:ascii="Georgia" w:cs="Georgia" w:eastAsia="Georgia" w:hAnsi="Georgia"/>
          <w:color w:val="2D3748"/>
          <w:sz w:val="24"/>
          <w:szCs w:val="24"/>
        </w:rPr>
        <w:t xml:space="preserve">Logs are mutable and can be altered after the fact</w:t>
      </w:r>
    </w:p>
    <w:p>
      <w:pPr>
        <w:pStyle w:val="ListParagraph"/>
        <w:numPr>
          <w:ilvl w:val="0"/>
          <w:numId w:val="2"/>
        </w:numPr>
        <w:spacing w:after="120"/>
      </w:pPr>
      <w:r>
        <w:rPr>
          <w:rFonts w:ascii="Georgia" w:cs="Georgia" w:eastAsia="Georgia" w:hAnsi="Georgia"/>
          <w:color w:val="2D3748"/>
          <w:sz w:val="24"/>
          <w:szCs w:val="24"/>
        </w:rPr>
        <w:t xml:space="preserve">Logs lack cryptographic integrity verification</w:t>
      </w:r>
    </w:p>
    <w:p>
      <w:pPr>
        <w:pStyle w:val="ListParagraph"/>
        <w:numPr>
          <w:ilvl w:val="0"/>
          <w:numId w:val="2"/>
        </w:numPr>
        <w:spacing w:after="120"/>
      </w:pPr>
      <w:r>
        <w:rPr>
          <w:rFonts w:ascii="Georgia" w:cs="Georgia" w:eastAsia="Georgia" w:hAnsi="Georgia"/>
          <w:color w:val="2D3748"/>
          <w:sz w:val="24"/>
          <w:szCs w:val="24"/>
        </w:rPr>
        <w:t xml:space="preserve">Logs do not capture human authorization or reasoning</w:t>
      </w:r>
    </w:p>
    <w:p>
      <w:pPr>
        <w:pStyle w:val="ListParagraph"/>
        <w:numPr>
          <w:ilvl w:val="0"/>
          <w:numId w:val="2"/>
        </w:numPr>
        <w:spacing w:after="200"/>
      </w:pPr>
      <w:r>
        <w:rPr>
          <w:rFonts w:ascii="Georgia" w:cs="Georgia" w:eastAsia="Georgia" w:hAnsi="Georgia"/>
          <w:color w:val="2D3748"/>
          <w:sz w:val="24"/>
          <w:szCs w:val="24"/>
        </w:rPr>
        <w:t xml:space="preserve">Logs cannot prove what did not happen</w:t>
      </w:r>
    </w:p>
    <w:p>
      <w:pPr>
        <w:pStyle w:val="Heading2"/>
        <w:spacing w:before="300" w:after="200"/>
      </w:pPr>
      <w:r>
        <w:rPr>
          <w:rFonts w:ascii="Arial" w:cs="Arial" w:eastAsia="Arial" w:hAnsi="Arial"/>
          <w:b/>
          <w:bCs/>
          <w:color w:val="1A365D"/>
          <w:sz w:val="30"/>
          <w:szCs w:val="30"/>
        </w:rPr>
        <w:t xml:space="preserve">Policy Is Not Enforcement</w:t>
      </w:r>
    </w:p>
    <w:p>
      <w:pPr>
        <w:spacing w:after="200" w:line="276"/>
      </w:pPr>
      <w:r>
        <w:rPr>
          <w:rFonts w:ascii="Georgia" w:cs="Georgia" w:eastAsia="Georgia" w:hAnsi="Georgia"/>
          <w:color w:val="2D3748"/>
          <w:sz w:val="24"/>
          <w:szCs w:val="24"/>
        </w:rPr>
        <w:t xml:space="preserve">Written policies describe intended behavior but do not guarantee it. A policy stating that AI suggestions require human review provides no assurance that review actually occurred, no record of who reviewed, and no mechanism to prevent circumvention.</w:t>
      </w:r>
    </w:p>
    <w:p>
      <w:pPr>
        <w:pStyle w:val="Heading2"/>
        <w:spacing w:before="300" w:after="200"/>
      </w:pPr>
      <w:r>
        <w:rPr>
          <w:rFonts w:ascii="Arial" w:cs="Arial" w:eastAsia="Arial" w:hAnsi="Arial"/>
          <w:b/>
          <w:bCs/>
          <w:color w:val="1A365D"/>
          <w:sz w:val="30"/>
          <w:szCs w:val="30"/>
        </w:rPr>
        <w:t xml:space="preserve">Chatbots Are Not Infrastructure</w:t>
      </w:r>
    </w:p>
    <w:p>
      <w:pPr>
        <w:spacing w:after="200" w:line="276"/>
      </w:pPr>
      <w:r>
        <w:rPr>
          <w:rFonts w:ascii="Georgia" w:cs="Georgia" w:eastAsia="Georgia" w:hAnsi="Georgia"/>
          <w:color w:val="2D3748"/>
          <w:sz w:val="24"/>
          <w:szCs w:val="24"/>
        </w:rPr>
        <w:t xml:space="preserve">AI assistants that respond to prompts are fundamentally different from governance infrastructure. They optimize for helpfulness, not accountability. They lack the architectural constraints necessary to ensure that authority boundaries are maintained and evidence chains are preserved.</w:t>
      </w:r>
    </w:p>
    <w:p>
      <w:r>
        <w:br w:type="page"/>
      </w:r>
    </w:p>
    <w:p>
      <w:pPr>
        <w:pStyle w:val="Heading1"/>
        <w:spacing w:before="400" w:after="200"/>
      </w:pPr>
      <w:r>
        <w:rPr>
          <w:rFonts w:ascii="Arial" w:cs="Arial" w:eastAsia="Arial" w:hAnsi="Arial"/>
          <w:b/>
          <w:bCs/>
          <w:color w:val="1A365D"/>
          <w:sz w:val="36"/>
          <w:szCs w:val="36"/>
        </w:rPr>
        <w:t xml:space="preserve">Design Principles</w:t>
      </w:r>
    </w:p>
    <w:p>
      <w:pPr>
        <w:spacing w:after="200" w:line="276"/>
      </w:pPr>
      <w:r>
        <w:rPr>
          <w:rFonts w:ascii="Georgia" w:cs="Georgia" w:eastAsia="Georgia" w:hAnsi="Georgia"/>
          <w:color w:val="2D3748"/>
          <w:sz w:val="24"/>
          <w:szCs w:val="24"/>
        </w:rPr>
        <w:t xml:space="preserve">The Forge architecture is built on four foundational principles that inform every design decision.</w:t>
      </w:r>
    </w:p>
    <w:p>
      <w:pPr>
        <w:pStyle w:val="Heading2"/>
        <w:spacing w:before="300" w:after="200"/>
      </w:pPr>
      <w:r>
        <w:rPr>
          <w:rFonts w:ascii="Arial" w:cs="Arial" w:eastAsia="Arial" w:hAnsi="Arial"/>
          <w:b/>
          <w:bCs/>
          <w:color w:val="1A365D"/>
          <w:sz w:val="30"/>
          <w:szCs w:val="30"/>
        </w:rPr>
        <w:t xml:space="preserve">Principle 1: AI Proposes, Humans Decide</w:t>
      </w:r>
    </w:p>
    <w:p>
      <w:pPr>
        <w:spacing w:after="200" w:line="276"/>
      </w:pPr>
      <w:r>
        <w:rPr>
          <w:rFonts w:ascii="Georgia" w:cs="Georgia" w:eastAsia="Georgia" w:hAnsi="Georgia"/>
          <w:color w:val="2D3748"/>
          <w:sz w:val="24"/>
          <w:szCs w:val="24"/>
        </w:rPr>
        <w:t xml:space="preserve">AI systems may generate suggestions, recommendations, and proposed changes. They may not execute those changes. Every action that modifies code, configuration, or system state requires explicit human authorization.</w:t>
      </w:r>
    </w:p>
    <w:p>
      <w:pPr>
        <w:spacing w:after="200" w:line="276"/>
      </w:pPr>
      <w:r>
        <w:rPr>
          <w:rFonts w:ascii="Georgia" w:cs="Georgia" w:eastAsia="Georgia" w:hAnsi="Georgia"/>
          <w:color w:val="2D3748"/>
          <w:sz w:val="24"/>
          <w:szCs w:val="24"/>
        </w:rPr>
        <w:t xml:space="preserve">This is not a limitation—it is a design requirement. The separation between proposal and execution creates the space where governance lives.</w:t>
      </w:r>
    </w:p>
    <w:p>
      <w:pPr>
        <w:pStyle w:val="Heading2"/>
        <w:spacing w:before="300" w:after="200"/>
      </w:pPr>
      <w:r>
        <w:rPr>
          <w:rFonts w:ascii="Arial" w:cs="Arial" w:eastAsia="Arial" w:hAnsi="Arial"/>
          <w:b/>
          <w:bCs/>
          <w:color w:val="1A365D"/>
          <w:sz w:val="30"/>
          <w:szCs w:val="30"/>
        </w:rPr>
        <w:t xml:space="preserve">Principle 2: Nothing Happens Without Proof</w:t>
      </w:r>
    </w:p>
    <w:p>
      <w:pPr>
        <w:spacing w:after="200" w:line="276"/>
      </w:pPr>
      <w:r>
        <w:rPr>
          <w:rFonts w:ascii="Georgia" w:cs="Georgia" w:eastAsia="Georgia" w:hAnsi="Georgia"/>
          <w:color w:val="2D3748"/>
          <w:sz w:val="24"/>
          <w:szCs w:val="24"/>
        </w:rPr>
        <w:t xml:space="preserve">Every authorization, every change, every decision creates a permanent, tamper-proof record. This is not logging—it is evidence. The distinction matters: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CCCCC" w:sz="1"/>
              <w:left w:val="single" w:color="CCCCCC" w:sz="1"/>
              <w:bottom w:val="single" w:color="CCCCCC" w:sz="1"/>
              <w:right w:val="single" w:color="CCCCCC" w:sz="1"/>
            </w:tcBorders>
            <w:shd w:fill="1A365D" w:val="clear"/>
            <w:tcMar>
              <w:top w:type="dxa" w:w="100"/>
              <w:left w:type="dxa" w:w="120"/>
              <w:bottom w:type="dxa" w:w="100"/>
              <w:right w:type="dxa" w:w="120"/>
            </w:tcMar>
          </w:tcPr>
          <w:p>
            <w:r>
              <w:rPr>
                <w:rFonts w:ascii="Arial" w:cs="Arial" w:eastAsia="Arial" w:hAnsi="Arial"/>
                <w:b/>
                <w:bCs/>
                <w:color w:val="FFFFFF"/>
                <w:sz w:val="22"/>
                <w:szCs w:val="22"/>
              </w:rPr>
              <w:t xml:space="preserve">Logging</w:t>
            </w:r>
          </w:p>
        </w:tc>
        <w:tc>
          <w:tcPr>
            <w:tcW w:type="dxa" w:w="4680"/>
            <w:tcBorders>
              <w:top w:val="single" w:color="CCCCCC" w:sz="1"/>
              <w:left w:val="single" w:color="CCCCCC" w:sz="1"/>
              <w:bottom w:val="single" w:color="CCCCCC" w:sz="1"/>
              <w:right w:val="single" w:color="CCCCCC" w:sz="1"/>
            </w:tcBorders>
            <w:shd w:fill="1A365D" w:val="clear"/>
            <w:tcMar>
              <w:top w:type="dxa" w:w="100"/>
              <w:left w:type="dxa" w:w="120"/>
              <w:bottom w:type="dxa" w:w="100"/>
              <w:right w:type="dxa" w:w="120"/>
            </w:tcMar>
          </w:tcPr>
          <w:p>
            <w:r>
              <w:rPr>
                <w:rFonts w:ascii="Arial" w:cs="Arial" w:eastAsia="Arial" w:hAnsi="Arial"/>
                <w:b/>
                <w:bCs/>
                <w:color w:val="FFFFFF"/>
                <w:sz w:val="22"/>
                <w:szCs w:val="22"/>
              </w:rPr>
              <w:t xml:space="preserve">Evidence</w:t>
            </w:r>
          </w:p>
        </w:tc>
      </w:tr>
      <w:t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Captures events</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Proves events</w:t>
            </w:r>
          </w:p>
        </w:tc>
      </w:tr>
      <w:t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Can be modified</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Cryptographically immutable</w:t>
            </w:r>
          </w:p>
        </w:tc>
      </w:tr>
      <w:t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Aids debugging</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Withstands scrutiny</w:t>
            </w:r>
          </w:p>
        </w:tc>
      </w:tr>
      <w:t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Technical artifact</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Legal artifact</w:t>
            </w:r>
          </w:p>
        </w:tc>
      </w:tr>
    </w:tbl>
    <w:p>
      <w:pPr>
        <w:spacing w:after="200"/>
      </w:pPr>
    </w:p>
    <w:p>
      <w:pPr>
        <w:pStyle w:val="Heading2"/>
        <w:spacing w:before="300" w:after="200"/>
      </w:pPr>
      <w:r>
        <w:rPr>
          <w:rFonts w:ascii="Arial" w:cs="Arial" w:eastAsia="Arial" w:hAnsi="Arial"/>
          <w:b/>
          <w:bCs/>
          <w:color w:val="1A365D"/>
          <w:sz w:val="30"/>
          <w:szCs w:val="30"/>
        </w:rPr>
        <w:t xml:space="preserve">Principle 3: Self-Aware, Not Autonomous</w:t>
      </w:r>
    </w:p>
    <w:p>
      <w:pPr>
        <w:spacing w:after="200" w:line="276"/>
      </w:pPr>
      <w:r>
        <w:rPr>
          <w:rFonts w:ascii="Georgia" w:cs="Georgia" w:eastAsia="Georgia" w:hAnsi="Georgia"/>
          <w:color w:val="2D3748"/>
          <w:sz w:val="24"/>
          <w:szCs w:val="24"/>
        </w:rPr>
        <w:t xml:space="preserve">The system understands its own operational patterns. It can explain why certain repositories accumulate governance gaps. It can identify correlations between specific AI capabilities and subsequent failures. It can answer questions about its own behavior.</w:t>
      </w:r>
    </w:p>
    <w:p>
      <w:pPr>
        <w:spacing w:after="200" w:line="276"/>
      </w:pPr>
      <w:r>
        <w:rPr>
          <w:rFonts w:ascii="Georgia" w:cs="Georgia" w:eastAsia="Georgia" w:hAnsi="Georgia"/>
          <w:color w:val="2D3748"/>
          <w:sz w:val="24"/>
          <w:szCs w:val="24"/>
        </w:rPr>
        <w:t xml:space="preserve">Critically, this self-awareness does not extend to self-modification. The system explains but does not decide. It surfaces patterns but does not act on them autonomously.</w:t>
      </w:r>
    </w:p>
    <w:p>
      <w:pPr>
        <w:pStyle w:val="Heading2"/>
        <w:spacing w:before="300" w:after="200"/>
      </w:pPr>
      <w:r>
        <w:rPr>
          <w:rFonts w:ascii="Arial" w:cs="Arial" w:eastAsia="Arial" w:hAnsi="Arial"/>
          <w:b/>
          <w:bCs/>
          <w:color w:val="1A365D"/>
          <w:sz w:val="30"/>
          <w:szCs w:val="30"/>
        </w:rPr>
        <w:t xml:space="preserve">Principle 4: Trust Must Be Measurable</w:t>
      </w:r>
    </w:p>
    <w:p>
      <w:pPr>
        <w:spacing w:after="200" w:line="276"/>
      </w:pPr>
      <w:r>
        <w:rPr>
          <w:rFonts w:ascii="Georgia" w:cs="Georgia" w:eastAsia="Georgia" w:hAnsi="Georgia"/>
          <w:color w:val="2D3748"/>
          <w:sz w:val="24"/>
          <w:szCs w:val="24"/>
        </w:rPr>
        <w:t xml:space="preserve">Governance cannot be a feeling. Every repository, every session, every workflow has a quantifiable trust posture. This metric—the Governability Score—becomes a business signal that can be tracked over time, compared across projects, and presented to stakeholders.</w:t>
      </w:r>
    </w:p>
    <w:p>
      <w:r>
        <w:br w:type="page"/>
      </w:r>
    </w:p>
    <w:p>
      <w:pPr>
        <w:pStyle w:val="Heading1"/>
        <w:spacing w:before="400" w:after="200"/>
      </w:pPr>
      <w:r>
        <w:rPr>
          <w:rFonts w:ascii="Arial" w:cs="Arial" w:eastAsia="Arial" w:hAnsi="Arial"/>
          <w:b/>
          <w:bCs/>
          <w:color w:val="1A365D"/>
          <w:sz w:val="36"/>
          <w:szCs w:val="36"/>
        </w:rPr>
        <w:t xml:space="preserve">The Forge Architecture</w:t>
      </w:r>
    </w:p>
    <w:p>
      <w:pPr>
        <w:spacing w:after="200" w:line="276"/>
      </w:pPr>
      <w:r>
        <w:rPr>
          <w:rFonts w:ascii="Georgia" w:cs="Georgia" w:eastAsia="Georgia" w:hAnsi="Georgia"/>
          <w:color w:val="2D3748"/>
          <w:sz w:val="24"/>
          <w:szCs w:val="24"/>
        </w:rPr>
        <w:t xml:space="preserve">The Forge ecosystem implements these principles through six integrated components, each with a specific role in the governance model.</w:t>
      </w:r>
    </w:p>
    <w:p>
      <w:pPr>
        <w:pStyle w:val="Heading2"/>
        <w:spacing w:before="300" w:after="200"/>
      </w:pPr>
      <w:r>
        <w:rPr>
          <w:rFonts w:ascii="Arial" w:cs="Arial" w:eastAsia="Arial" w:hAnsi="Arial"/>
          <w:b/>
          <w:bCs/>
          <w:color w:val="1A365D"/>
          <w:sz w:val="30"/>
          <w:szCs w:val="30"/>
        </w:rPr>
        <w:t xml:space="preserve">Forge:SMITH — The Command Center</w:t>
      </w:r>
    </w:p>
    <w:p>
      <w:pPr>
        <w:spacing w:after="200" w:line="276"/>
      </w:pPr>
      <w:r>
        <w:rPr>
          <w:rFonts w:ascii="Georgia" w:cs="Georgia" w:eastAsia="Georgia" w:hAnsi="Georgia"/>
          <w:color w:val="2D3748"/>
          <w:sz w:val="24"/>
          <w:szCs w:val="24"/>
        </w:rPr>
        <w:t xml:space="preserve">SMITH is where humans and AI collaborate under governance. It enforces a 10-state pipeline where each state has explicit entry conditions, exit conditions, and locked states that prevent progression until requirements are satisfied.</w:t>
      </w:r>
    </w:p>
    <w:p>
      <w:pPr>
        <w:spacing w:after="200" w:line="276"/>
      </w:pPr>
      <w:r>
        <w:rPr>
          <w:rFonts w:ascii="Georgia" w:cs="Georgia" w:eastAsia="Georgia" w:hAnsi="Georgia"/>
          <w:color w:val="2D3748"/>
          <w:sz w:val="24"/>
          <w:szCs w:val="24"/>
        </w:rPr>
        <w:t xml:space="preserve">Key capabilities include:</w:t>
      </w:r>
    </w:p>
    <w:p>
      <w:pPr>
        <w:pStyle w:val="ListParagraph"/>
        <w:numPr>
          <w:ilvl w:val="0"/>
          <w:numId w:val="2"/>
        </w:numPr>
        <w:spacing w:after="120"/>
      </w:pPr>
      <w:r>
        <w:rPr>
          <w:rFonts w:ascii="Georgia" w:cs="Georgia" w:eastAsia="Georgia" w:hAnsi="Georgia"/>
          <w:color w:val="2D3748"/>
          <w:sz w:val="24"/>
          <w:szCs w:val="24"/>
        </w:rPr>
        <w:t xml:space="preserve">Cryptographically signed authority contracts (RunIntent.v1)</w:t>
      </w:r>
    </w:p>
    <w:p>
      <w:pPr>
        <w:pStyle w:val="ListParagraph"/>
        <w:numPr>
          <w:ilvl w:val="0"/>
          <w:numId w:val="2"/>
        </w:numPr>
        <w:spacing w:after="120"/>
      </w:pPr>
      <w:r>
        <w:rPr>
          <w:rFonts w:ascii="Georgia" w:cs="Georgia" w:eastAsia="Georgia" w:hAnsi="Georgia"/>
          <w:color w:val="2D3748"/>
          <w:sz w:val="24"/>
          <w:szCs w:val="24"/>
        </w:rPr>
        <w:t xml:space="preserve">Progressive verification ladder (AST parsing → compilation → testing)</w:t>
      </w:r>
    </w:p>
    <w:p>
      <w:pPr>
        <w:pStyle w:val="ListParagraph"/>
        <w:numPr>
          <w:ilvl w:val="0"/>
          <w:numId w:val="2"/>
        </w:numPr>
        <w:spacing w:after="120"/>
      </w:pPr>
      <w:r>
        <w:rPr>
          <w:rFonts w:ascii="Georgia" w:cs="Georgia" w:eastAsia="Georgia" w:hAnsi="Georgia"/>
          <w:color w:val="2D3748"/>
          <w:sz w:val="24"/>
          <w:szCs w:val="24"/>
        </w:rPr>
        <w:t xml:space="preserve">Atomic patch application with automatic rollback</w:t>
      </w:r>
    </w:p>
    <w:p>
      <w:pPr>
        <w:pStyle w:val="ListParagraph"/>
        <w:numPr>
          <w:ilvl w:val="0"/>
          <w:numId w:val="2"/>
        </w:numPr>
        <w:spacing w:after="200"/>
      </w:pPr>
      <w:r>
        <w:rPr>
          <w:rFonts w:ascii="Georgia" w:cs="Georgia" w:eastAsia="Georgia" w:hAnsi="Georgia"/>
          <w:color w:val="2D3748"/>
          <w:sz w:val="24"/>
          <w:szCs w:val="24"/>
        </w:rPr>
        <w:t xml:space="preserve">Evidence bundle generation with 12-step verification</w:t>
      </w:r>
    </w:p>
    <w:p>
      <w:pPr>
        <w:pStyle w:val="Heading2"/>
        <w:spacing w:before="300" w:after="200"/>
      </w:pPr>
      <w:r>
        <w:rPr>
          <w:rFonts w:ascii="Arial" w:cs="Arial" w:eastAsia="Arial" w:hAnsi="Arial"/>
          <w:b/>
          <w:bCs/>
          <w:color w:val="1A365D"/>
          <w:sz w:val="30"/>
          <w:szCs w:val="30"/>
        </w:rPr>
        <w:t xml:space="preserve">ForgeAgents — The Bounded AI Workforce</w:t>
      </w:r>
    </w:p>
    <w:p>
      <w:pPr>
        <w:spacing w:after="200" w:line="276"/>
      </w:pPr>
      <w:r>
        <w:rPr>
          <w:rFonts w:ascii="Georgia" w:cs="Georgia" w:eastAsia="Georgia" w:hAnsi="Georgia"/>
          <w:color w:val="2D3748"/>
          <w:sz w:val="24"/>
          <w:szCs w:val="24"/>
        </w:rPr>
        <w:t xml:space="preserve">Rather than open-ended AI capabilities, ForgeAgents implements 120 specific, bounded capabilities organized into seven categories. Each capability has explicit rules about when it can be invoked, what authority level it requires, and what evidence it must produce.</w:t>
      </w:r>
    </w:p>
    <w:p>
      <w:pPr>
        <w:spacing w:after="200" w:line="276"/>
      </w:pPr>
      <w:r>
        <w:rPr>
          <w:rFonts w:ascii="Georgia" w:cs="Georgia" w:eastAsia="Georgia" w:hAnsi="Georgia"/>
          <w:color w:val="2D3748"/>
          <w:sz w:val="24"/>
          <w:szCs w:val="24"/>
        </w:rPr>
        <w:t xml:space="preserve">This bounded approach means AI assistance is powerful but predictable. The system cannot surprise you with novel behaviors outside its defined capability set.</w:t>
      </w:r>
    </w:p>
    <w:p>
      <w:pPr>
        <w:pStyle w:val="Heading2"/>
        <w:spacing w:before="300" w:after="200"/>
      </w:pPr>
      <w:r>
        <w:rPr>
          <w:rFonts w:ascii="Arial" w:cs="Arial" w:eastAsia="Arial" w:hAnsi="Arial"/>
          <w:b/>
          <w:bCs/>
          <w:color w:val="1A365D"/>
          <w:sz w:val="30"/>
          <w:szCs w:val="30"/>
        </w:rPr>
        <w:t xml:space="preserve">NeuroForge — Intelligence Without Authority</w:t>
      </w:r>
    </w:p>
    <w:p>
      <w:pPr>
        <w:spacing w:after="200" w:line="276"/>
      </w:pPr>
      <w:r>
        <w:rPr>
          <w:rFonts w:ascii="Georgia" w:cs="Georgia" w:eastAsia="Georgia" w:hAnsi="Georgia"/>
          <w:color w:val="2D3748"/>
          <w:sz w:val="24"/>
          <w:szCs w:val="24"/>
        </w:rPr>
        <w:t xml:space="preserve">NeuroForge provides AI intelligence—routing requests to appropriate models, managing costs, tracking reliability—without any decision authority. It never executes; it only provides information that humans and SMITH use to make decisions.</w:t>
      </w:r>
    </w:p>
    <w:p>
      <w:pPr>
        <w:pStyle w:val="Heading2"/>
        <w:spacing w:before="300" w:after="200"/>
      </w:pPr>
      <w:r>
        <w:rPr>
          <w:rFonts w:ascii="Arial" w:cs="Arial" w:eastAsia="Arial" w:hAnsi="Arial"/>
          <w:b/>
          <w:bCs/>
          <w:color w:val="1A365D"/>
          <w:sz w:val="30"/>
          <w:szCs w:val="30"/>
        </w:rPr>
        <w:t xml:space="preserve">DataForge — The Immutable Memory</w:t>
      </w:r>
    </w:p>
    <w:p>
      <w:pPr>
        <w:spacing w:after="200" w:line="276"/>
      </w:pPr>
      <w:r>
        <w:rPr>
          <w:rFonts w:ascii="Georgia" w:cs="Georgia" w:eastAsia="Georgia" w:hAnsi="Georgia"/>
          <w:color w:val="2D3748"/>
          <w:sz w:val="24"/>
          <w:szCs w:val="24"/>
        </w:rPr>
        <w:t xml:space="preserve">DataForge serves as the single source of truth for the ecosystem. All evidence, decisions, rationales, and operational data persist here with full audit trails. Vector search enables retrieval across the entire institutional memory.</w:t>
      </w:r>
    </w:p>
    <w:p>
      <w:pPr>
        <w:pStyle w:val="Heading2"/>
        <w:spacing w:before="300" w:after="200"/>
      </w:pPr>
      <w:r>
        <w:rPr>
          <w:rFonts w:ascii="Arial" w:cs="Arial" w:eastAsia="Arial" w:hAnsi="Arial"/>
          <w:b/>
          <w:bCs/>
          <w:color w:val="1A365D"/>
          <w:sz w:val="30"/>
          <w:szCs w:val="30"/>
        </w:rPr>
        <w:t xml:space="preserve">Forge Command — Mission Control</w:t>
      </w:r>
    </w:p>
    <w:p>
      <w:pPr>
        <w:spacing w:after="200" w:line="276"/>
      </w:pPr>
      <w:r>
        <w:rPr>
          <w:rFonts w:ascii="Georgia" w:cs="Georgia" w:eastAsia="Georgia" w:hAnsi="Georgia"/>
          <w:color w:val="2D3748"/>
          <w:sz w:val="24"/>
          <w:szCs w:val="24"/>
        </w:rPr>
        <w:t xml:space="preserve">Forge Command provides unified visibility across all services, secure credential management (no plaintext ever), and cost tracking across AI usage. It is the human authority surface for operational decisions.</w:t>
      </w:r>
    </w:p>
    <w:p>
      <w:pPr>
        <w:pStyle w:val="Heading2"/>
        <w:spacing w:before="300" w:after="200"/>
      </w:pPr>
      <w:r>
        <w:rPr>
          <w:rFonts w:ascii="Arial" w:cs="Arial" w:eastAsia="Arial" w:hAnsi="Arial"/>
          <w:b/>
          <w:bCs/>
          <w:color w:val="1A365D"/>
          <w:sz w:val="30"/>
          <w:szCs w:val="30"/>
        </w:rPr>
        <w:t xml:space="preserve">Rake — The Knowledge Librarian</w:t>
      </w:r>
    </w:p>
    <w:p>
      <w:pPr>
        <w:spacing w:after="200" w:line="276"/>
      </w:pPr>
      <w:r>
        <w:rPr>
          <w:rFonts w:ascii="Georgia" w:cs="Georgia" w:eastAsia="Georgia" w:hAnsi="Georgia"/>
          <w:color w:val="2D3748"/>
          <w:sz w:val="24"/>
          <w:szCs w:val="24"/>
        </w:rPr>
        <w:t xml:space="preserve">Rake ingests documents, code, and external content, making everything searchable and available as context for AI operations. This ensures AI assistance operates with accurate, verified information rather than hallucinated context.</w:t>
      </w:r>
    </w:p>
    <w:p>
      <w:r>
        <w:br w:type="page"/>
      </w:r>
    </w:p>
    <w:p>
      <w:pPr>
        <w:pStyle w:val="Heading1"/>
        <w:spacing w:before="400" w:after="200"/>
      </w:pPr>
      <w:r>
        <w:rPr>
          <w:rFonts w:ascii="Arial" w:cs="Arial" w:eastAsia="Arial" w:hAnsi="Arial"/>
          <w:b/>
          <w:bCs/>
          <w:color w:val="1A365D"/>
          <w:sz w:val="36"/>
          <w:szCs w:val="36"/>
        </w:rPr>
        <w:t xml:space="preserve">Decision Replay and Time-Travel</w:t>
      </w:r>
    </w:p>
    <w:p>
      <w:pPr>
        <w:spacing w:after="200" w:line="276"/>
      </w:pPr>
      <w:r>
        <w:rPr>
          <w:rFonts w:ascii="Georgia" w:cs="Georgia" w:eastAsia="Georgia" w:hAnsi="Georgia"/>
          <w:color w:val="2D3748"/>
          <w:sz w:val="24"/>
          <w:szCs w:val="24"/>
        </w:rPr>
        <w:t xml:space="preserve">One of the most powerful capabilities in the Forge architecture is the ability to replay historical decisions against current rules.</w:t>
      </w:r>
    </w:p>
    <w:p>
      <w:pPr>
        <w:pStyle w:val="Heading2"/>
        <w:spacing w:before="300" w:after="200"/>
      </w:pPr>
      <w:r>
        <w:rPr>
          <w:rFonts w:ascii="Arial" w:cs="Arial" w:eastAsia="Arial" w:hAnsi="Arial"/>
          <w:b/>
          <w:bCs/>
          <w:color w:val="1A365D"/>
          <w:sz w:val="30"/>
          <w:szCs w:val="30"/>
        </w:rPr>
        <w:t xml:space="preserve">The Problem of Policy Evolution</w:t>
      </w:r>
    </w:p>
    <w:p>
      <w:pPr>
        <w:spacing w:after="200" w:line="276"/>
      </w:pPr>
      <w:r>
        <w:rPr>
          <w:rFonts w:ascii="Georgia" w:cs="Georgia" w:eastAsia="Georgia" w:hAnsi="Georgia"/>
          <w:color w:val="2D3748"/>
          <w:sz w:val="24"/>
          <w:szCs w:val="24"/>
        </w:rPr>
        <w:t xml:space="preserve">Governance policies change over time. Security requirements tighten. Compliance standards evolve. New risks are identified. Each policy change raises a question: Would our previous decisions still pass under the new rules?</w:t>
      </w:r>
    </w:p>
    <w:p>
      <w:pPr>
        <w:spacing w:after="200" w:line="276"/>
      </w:pPr>
      <w:r>
        <w:rPr>
          <w:rFonts w:ascii="Georgia" w:cs="Georgia" w:eastAsia="Georgia" w:hAnsi="Georgia"/>
          <w:color w:val="2D3748"/>
          <w:sz w:val="24"/>
          <w:szCs w:val="24"/>
        </w:rPr>
        <w:t xml:space="preserve">Without the ability to answer this question, organizations face two bad choices: apply new policies only going forward (creating inconsistency) or manually review all historical decisions (prohibitively expensive).</w:t>
      </w:r>
    </w:p>
    <w:p>
      <w:pPr>
        <w:pStyle w:val="Heading2"/>
        <w:spacing w:before="300" w:after="200"/>
      </w:pPr>
      <w:r>
        <w:rPr>
          <w:rFonts w:ascii="Arial" w:cs="Arial" w:eastAsia="Arial" w:hAnsi="Arial"/>
          <w:b/>
          <w:bCs/>
          <w:color w:val="1A365D"/>
          <w:sz w:val="30"/>
          <w:szCs w:val="30"/>
        </w:rPr>
        <w:t xml:space="preserve">Governance Snapshots</w:t>
      </w:r>
    </w:p>
    <w:p>
      <w:pPr>
        <w:spacing w:after="200" w:line="276"/>
      </w:pPr>
      <w:r>
        <w:rPr>
          <w:rFonts w:ascii="Georgia" w:cs="Georgia" w:eastAsia="Georgia" w:hAnsi="Georgia"/>
          <w:color w:val="2D3748"/>
          <w:sz w:val="24"/>
          <w:szCs w:val="24"/>
        </w:rPr>
        <w:t xml:space="preserve">Forge captures complete governance state at key milestones: session start, release gates, emergency overrides. These snapshots include pipeline state, trust posture, active rules, and associated evidence.</w:t>
      </w:r>
    </w:p>
    <w:p>
      <w:pPr>
        <w:spacing w:after="200" w:line="276"/>
      </w:pPr>
      <w:r>
        <w:rPr>
          <w:rFonts w:ascii="Georgia" w:cs="Georgia" w:eastAsia="Georgia" w:hAnsi="Georgia"/>
          <w:color w:val="2D3748"/>
          <w:sz w:val="24"/>
          <w:szCs w:val="24"/>
        </w:rPr>
        <w:t xml:space="preserve">Snapshots are not backups—they are point-in-time governance records that enable precise replay.</w:t>
      </w:r>
    </w:p>
    <w:p>
      <w:pPr>
        <w:pStyle w:val="Heading2"/>
        <w:spacing w:before="300" w:after="200"/>
      </w:pPr>
      <w:r>
        <w:rPr>
          <w:rFonts w:ascii="Arial" w:cs="Arial" w:eastAsia="Arial" w:hAnsi="Arial"/>
          <w:b/>
          <w:bCs/>
          <w:color w:val="1A365D"/>
          <w:sz w:val="30"/>
          <w:szCs w:val="30"/>
        </w:rPr>
        <w:t xml:space="preserve">Decision Simulation</w:t>
      </w:r>
    </w:p>
    <w:p>
      <w:pPr>
        <w:spacing w:after="200" w:line="276"/>
      </w:pPr>
      <w:r>
        <w:rPr>
          <w:rFonts w:ascii="Georgia" w:cs="Georgia" w:eastAsia="Georgia" w:hAnsi="Georgia"/>
          <w:color w:val="2D3748"/>
          <w:sz w:val="24"/>
          <w:szCs w:val="24"/>
        </w:rPr>
        <w:t xml:space="preserve">With historical snapshots, the system can answer questions like:</w:t>
      </w:r>
    </w:p>
    <w:p>
      <w:pPr>
        <w:pStyle w:val="ListParagraph"/>
        <w:numPr>
          <w:ilvl w:val="0"/>
          <w:numId w:val="2"/>
        </w:numPr>
        <w:spacing w:after="120"/>
      </w:pPr>
      <w:r>
        <w:rPr>
          <w:rFonts w:ascii="Georgia" w:cs="Georgia" w:eastAsia="Georgia" w:hAnsi="Georgia"/>
          <w:color w:val="2D3748"/>
          <w:sz w:val="24"/>
          <w:szCs w:val="24"/>
        </w:rPr>
        <w:t xml:space="preserve">Would last quarter's releases pass today's security policies?</w:t>
      </w:r>
    </w:p>
    <w:p>
      <w:pPr>
        <w:pStyle w:val="ListParagraph"/>
        <w:numPr>
          <w:ilvl w:val="0"/>
          <w:numId w:val="2"/>
        </w:numPr>
        <w:spacing w:after="120"/>
      </w:pPr>
      <w:r>
        <w:rPr>
          <w:rFonts w:ascii="Georgia" w:cs="Georgia" w:eastAsia="Georgia" w:hAnsi="Georgia"/>
          <w:color w:val="2D3748"/>
          <w:sz w:val="24"/>
          <w:szCs w:val="24"/>
        </w:rPr>
        <w:t xml:space="preserve">If we add this new rule, how many false positives would it generate against historical decisions?</w:t>
      </w:r>
    </w:p>
    <w:p>
      <w:pPr>
        <w:pStyle w:val="ListParagraph"/>
        <w:numPr>
          <w:ilvl w:val="0"/>
          <w:numId w:val="2"/>
        </w:numPr>
        <w:spacing w:after="200"/>
      </w:pPr>
      <w:r>
        <w:rPr>
          <w:rFonts w:ascii="Georgia" w:cs="Georgia" w:eastAsia="Georgia" w:hAnsi="Georgia"/>
          <w:color w:val="2D3748"/>
          <w:sz w:val="24"/>
          <w:szCs w:val="24"/>
        </w:rPr>
        <w:t xml:space="preserve">Which policy changes would have prevented a specific incident?</w:t>
      </w:r>
    </w:p>
    <w:p>
      <w:pPr>
        <w:spacing w:after="200" w:line="276"/>
      </w:pPr>
      <w:r>
        <w:rPr>
          <w:rFonts w:ascii="Georgia" w:cs="Georgia" w:eastAsia="Georgia" w:hAnsi="Georgia"/>
          <w:color w:val="2D3748"/>
          <w:sz w:val="24"/>
          <w:szCs w:val="24"/>
        </w:rPr>
        <w:t xml:space="preserve">This simulation capability is read-only—it never modifies historical records or current state. It provides information for human decision-making about policy evolution.</w:t>
      </w:r>
    </w:p>
    <w:p>
      <w:r>
        <w:br w:type="page"/>
      </w:r>
    </w:p>
    <w:p>
      <w:pPr>
        <w:pStyle w:val="Heading1"/>
        <w:spacing w:before="400" w:after="200"/>
      </w:pPr>
      <w:r>
        <w:rPr>
          <w:rFonts w:ascii="Arial" w:cs="Arial" w:eastAsia="Arial" w:hAnsi="Arial"/>
          <w:b/>
          <w:bCs/>
          <w:color w:val="1A365D"/>
          <w:sz w:val="36"/>
          <w:szCs w:val="36"/>
        </w:rPr>
        <w:t xml:space="preserve">Governability as a Metric</w:t>
      </w:r>
    </w:p>
    <w:p>
      <w:pPr>
        <w:spacing w:after="200" w:line="276"/>
      </w:pPr>
      <w:r>
        <w:rPr>
          <w:rFonts w:ascii="Georgia" w:cs="Georgia" w:eastAsia="Georgia" w:hAnsi="Georgia"/>
          <w:color w:val="2D3748"/>
          <w:sz w:val="24"/>
          <w:szCs w:val="24"/>
        </w:rPr>
        <w:t xml:space="preserve">Traditional software metrics focus on code quality, test coverage, and deployment frequency. Forge introduces a new category: governance metrics.</w:t>
      </w:r>
    </w:p>
    <w:p>
      <w:pPr>
        <w:pStyle w:val="Heading2"/>
        <w:spacing w:before="300" w:after="200"/>
      </w:pPr>
      <w:r>
        <w:rPr>
          <w:rFonts w:ascii="Arial" w:cs="Arial" w:eastAsia="Arial" w:hAnsi="Arial"/>
          <w:b/>
          <w:bCs/>
          <w:color w:val="1A365D"/>
          <w:sz w:val="30"/>
          <w:szCs w:val="30"/>
        </w:rPr>
        <w:t xml:space="preserve">The Governability Score</w:t>
      </w:r>
    </w:p>
    <w:p>
      <w:pPr>
        <w:spacing w:after="200" w:line="276"/>
      </w:pPr>
      <w:r>
        <w:rPr>
          <w:rFonts w:ascii="Georgia" w:cs="Georgia" w:eastAsia="Georgia" w:hAnsi="Georgia"/>
          <w:color w:val="2D3748"/>
          <w:sz w:val="24"/>
          <w:szCs w:val="24"/>
        </w:rPr>
        <w:t xml:space="preserve">Every repository in the Forge ecosystem has a Governability Score—a composite metric reflecting:</w:t>
      </w:r>
    </w:p>
    <w:p>
      <w:pPr>
        <w:pStyle w:val="ListParagraph"/>
        <w:numPr>
          <w:ilvl w:val="0"/>
          <w:numId w:val="2"/>
        </w:numPr>
        <w:spacing w:after="120"/>
      </w:pPr>
      <w:r>
        <w:rPr>
          <w:rFonts w:ascii="Georgia" w:cs="Georgia" w:eastAsia="Georgia" w:hAnsi="Georgia"/>
          <w:color w:val="2D3748"/>
          <w:sz w:val="24"/>
          <w:szCs w:val="24"/>
        </w:rPr>
        <w:t xml:space="preserve">Trust tier (0-4 scale from untrusted to certified)</w:t>
      </w:r>
    </w:p>
    <w:p>
      <w:pPr>
        <w:pStyle w:val="ListParagraph"/>
        <w:numPr>
          <w:ilvl w:val="0"/>
          <w:numId w:val="2"/>
        </w:numPr>
        <w:spacing w:after="120"/>
      </w:pPr>
      <w:r>
        <w:rPr>
          <w:rFonts w:ascii="Georgia" w:cs="Georgia" w:eastAsia="Georgia" w:hAnsi="Georgia"/>
          <w:color w:val="2D3748"/>
          <w:sz w:val="24"/>
          <w:szCs w:val="24"/>
        </w:rPr>
        <w:t xml:space="preserve">Trust debt (accumulated governance gaps)</w:t>
      </w:r>
    </w:p>
    <w:p>
      <w:pPr>
        <w:pStyle w:val="ListParagraph"/>
        <w:numPr>
          <w:ilvl w:val="0"/>
          <w:numId w:val="2"/>
        </w:numPr>
        <w:spacing w:after="120"/>
      </w:pPr>
      <w:r>
        <w:rPr>
          <w:rFonts w:ascii="Georgia" w:cs="Georgia" w:eastAsia="Georgia" w:hAnsi="Georgia"/>
          <w:color w:val="2D3748"/>
          <w:sz w:val="24"/>
          <w:szCs w:val="24"/>
        </w:rPr>
        <w:t xml:space="preserve">Verification pass rates across the V10 ladder</w:t>
      </w:r>
    </w:p>
    <w:p>
      <w:pPr>
        <w:pStyle w:val="ListParagraph"/>
        <w:numPr>
          <w:ilvl w:val="0"/>
          <w:numId w:val="2"/>
        </w:numPr>
        <w:spacing w:after="200"/>
      </w:pPr>
      <w:r>
        <w:rPr>
          <w:rFonts w:ascii="Georgia" w:cs="Georgia" w:eastAsia="Georgia" w:hAnsi="Georgia"/>
          <w:color w:val="2D3748"/>
          <w:sz w:val="24"/>
          <w:szCs w:val="24"/>
        </w:rPr>
        <w:t xml:space="preserve">Evidence chain completeness</w:t>
      </w:r>
    </w:p>
    <w:p>
      <w:pPr>
        <w:pStyle w:val="Heading2"/>
        <w:spacing w:before="300" w:after="200"/>
      </w:pPr>
      <w:r>
        <w:rPr>
          <w:rFonts w:ascii="Arial" w:cs="Arial" w:eastAsia="Arial" w:hAnsi="Arial"/>
          <w:b/>
          <w:bCs/>
          <w:color w:val="1A365D"/>
          <w:sz w:val="30"/>
          <w:szCs w:val="30"/>
        </w:rPr>
        <w:t xml:space="preserve">Trust Debt as Business Intelligence</w:t>
      </w:r>
    </w:p>
    <w:p>
      <w:pPr>
        <w:spacing w:after="200" w:line="276"/>
      </w:pPr>
      <w:r>
        <w:rPr>
          <w:rFonts w:ascii="Georgia" w:cs="Georgia" w:eastAsia="Georgia" w:hAnsi="Georgia"/>
          <w:color w:val="2D3748"/>
          <w:sz w:val="24"/>
          <w:szCs w:val="24"/>
        </w:rPr>
        <w:t xml:space="preserve">Trust Debt—the accumulation of governance gaps from unverified AI invocations—transforms from a technical warning to a business metric: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500"/>
        <w:gridCol w:w="5860"/>
      </w:tblGrid>
      <w:tr>
        <w:tc>
          <w:tcPr>
            <w:tcW w:type="dxa" w:w="3500"/>
            <w:tcBorders>
              <w:top w:val="single" w:color="CCCCCC" w:sz="1"/>
              <w:left w:val="single" w:color="CCCCCC" w:sz="1"/>
              <w:bottom w:val="single" w:color="CCCCCC" w:sz="1"/>
              <w:right w:val="single" w:color="CCCCCC" w:sz="1"/>
            </w:tcBorders>
            <w:shd w:fill="1A365D" w:val="clear"/>
            <w:tcMar>
              <w:top w:type="dxa" w:w="100"/>
              <w:left w:type="dxa" w:w="120"/>
              <w:bottom w:type="dxa" w:w="100"/>
              <w:right w:type="dxa" w:w="120"/>
            </w:tcMar>
          </w:tcPr>
          <w:p>
            <w:r>
              <w:rPr>
                <w:rFonts w:ascii="Arial" w:cs="Arial" w:eastAsia="Arial" w:hAnsi="Arial"/>
                <w:b/>
                <w:bCs/>
                <w:color w:val="FFFFFF"/>
                <w:sz w:val="22"/>
                <w:szCs w:val="22"/>
              </w:rPr>
              <w:t xml:space="preserve">Metric</w:t>
            </w:r>
          </w:p>
        </w:tc>
        <w:tc>
          <w:tcPr>
            <w:tcW w:type="dxa" w:w="5860"/>
            <w:tcBorders>
              <w:top w:val="single" w:color="CCCCCC" w:sz="1"/>
              <w:left w:val="single" w:color="CCCCCC" w:sz="1"/>
              <w:bottom w:val="single" w:color="CCCCCC" w:sz="1"/>
              <w:right w:val="single" w:color="CCCCCC" w:sz="1"/>
            </w:tcBorders>
            <w:shd w:fill="1A365D" w:val="clear"/>
            <w:tcMar>
              <w:top w:type="dxa" w:w="100"/>
              <w:left w:type="dxa" w:w="120"/>
              <w:bottom w:type="dxa" w:w="100"/>
              <w:right w:type="dxa" w:w="120"/>
            </w:tcMar>
          </w:tcPr>
          <w:p>
            <w:r>
              <w:rPr>
                <w:rFonts w:ascii="Arial" w:cs="Arial" w:eastAsia="Arial" w:hAnsi="Arial"/>
                <w:b/>
                <w:bCs/>
                <w:color w:val="FFFFFF"/>
                <w:sz w:val="22"/>
                <w:szCs w:val="22"/>
              </w:rPr>
              <w:t xml:space="preserve">Business Question Answered</w:t>
            </w:r>
          </w:p>
        </w:tc>
      </w:tr>
      <w:tr>
        <w:tc>
          <w:tcPr>
            <w:tcW w:type="dxa" w:w="3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Trust Debt Velocity</w:t>
            </w:r>
          </w:p>
        </w:tc>
        <w:tc>
          <w:tcPr>
            <w:tcW w:type="dxa" w:w="58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Is governance improving or degrading?</w:t>
            </w:r>
          </w:p>
        </w:tc>
      </w:tr>
      <w:tr>
        <w:tc>
          <w:tcPr>
            <w:tcW w:type="dxa" w:w="3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Debt Burn-Down Rate</w:t>
            </w:r>
          </w:p>
        </w:tc>
        <w:tc>
          <w:tcPr>
            <w:tcW w:type="dxa" w:w="58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How quickly do we resolve governance gaps?</w:t>
            </w:r>
          </w:p>
        </w:tc>
      </w:tr>
      <w:tr>
        <w:tc>
          <w:tcPr>
            <w:tcW w:type="dxa" w:w="3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Emergency Override Cost</w:t>
            </w:r>
          </w:p>
        </w:tc>
        <w:tc>
          <w:tcPr>
            <w:tcW w:type="dxa" w:w="58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What is the real cost of bypassing governance?</w:t>
            </w:r>
          </w:p>
        </w:tc>
      </w:tr>
      <w:tr>
        <w:tc>
          <w:tcPr>
            <w:tcW w:type="dxa" w:w="3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Governability Trend</w:t>
            </w:r>
          </w:p>
        </w:tc>
        <w:tc>
          <w:tcPr>
            <w:tcW w:type="dxa" w:w="58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2D3748"/>
                <w:sz w:val="22"/>
                <w:szCs w:val="22"/>
              </w:rPr>
              <w:t xml:space="preserve">Are we becoming more disciplined over time?</w:t>
            </w:r>
          </w:p>
        </w:tc>
      </w:tr>
    </w:tbl>
    <w:p>
      <w:pPr>
        <w:spacing w:after="200"/>
      </w:pPr>
    </w:p>
    <w:p>
      <w:pPr>
        <w:spacing w:after="200" w:line="276"/>
      </w:pPr>
      <w:r>
        <w:rPr>
          <w:rFonts w:ascii="Georgia" w:cs="Georgia" w:eastAsia="Georgia" w:hAnsi="Georgia"/>
          <w:color w:val="2D3748"/>
          <w:sz w:val="24"/>
          <w:szCs w:val="24"/>
        </w:rPr>
        <w:t xml:space="preserve">These metrics can be presented to auditors demonstrating governance maturity, to investors demonstrating operational discipline, and to customers demonstrating trustworthiness.</w:t>
      </w:r>
    </w:p>
    <w:p>
      <w:r>
        <w:br w:type="page"/>
      </w:r>
    </w:p>
    <w:p>
      <w:pPr>
        <w:pStyle w:val="Heading1"/>
        <w:spacing w:before="400" w:after="200"/>
      </w:pPr>
      <w:r>
        <w:rPr>
          <w:rFonts w:ascii="Arial" w:cs="Arial" w:eastAsia="Arial" w:hAnsi="Arial"/>
          <w:b/>
          <w:bCs/>
          <w:color w:val="1A365D"/>
          <w:sz w:val="36"/>
          <w:szCs w:val="36"/>
        </w:rPr>
        <w:t xml:space="preserve">Implications by Stakeholder</w:t>
      </w:r>
    </w:p>
    <w:p>
      <w:pPr>
        <w:pStyle w:val="Heading2"/>
        <w:spacing w:before="300" w:after="200"/>
      </w:pPr>
      <w:r>
        <w:rPr>
          <w:rFonts w:ascii="Arial" w:cs="Arial" w:eastAsia="Arial" w:hAnsi="Arial"/>
          <w:b/>
          <w:bCs/>
          <w:color w:val="1A365D"/>
          <w:sz w:val="30"/>
          <w:szCs w:val="30"/>
        </w:rPr>
        <w:t xml:space="preserve">For Engineering Teams</w:t>
      </w:r>
    </w:p>
    <w:p>
      <w:pPr>
        <w:spacing w:after="200" w:line="276"/>
      </w:pPr>
      <w:r>
        <w:rPr>
          <w:rFonts w:ascii="Georgia" w:cs="Georgia" w:eastAsia="Georgia" w:hAnsi="Georgia"/>
          <w:color w:val="2D3748"/>
          <w:sz w:val="24"/>
          <w:szCs w:val="24"/>
        </w:rPr>
        <w:t xml:space="preserve">Engineers gain faster development with confidence rather than anxiety. Every AI-assisted change is tracked, reversible, and explainable. When something breaks, there is no mystery about what changed or why.</w:t>
      </w:r>
    </w:p>
    <w:p>
      <w:pPr>
        <w:spacing w:after="200" w:line="276"/>
      </w:pPr>
      <w:r>
        <w:rPr>
          <w:rFonts w:ascii="Georgia" w:cs="Georgia" w:eastAsia="Georgia" w:hAnsi="Georgia"/>
          <w:color w:val="2D3748"/>
          <w:sz w:val="24"/>
          <w:szCs w:val="24"/>
        </w:rPr>
        <w:t xml:space="preserve">The cognitive load of AI governance shifts from the individual engineer to the infrastructure. Engineers focus on building; the system handles accountability.</w:t>
      </w:r>
    </w:p>
    <w:p>
      <w:pPr>
        <w:pStyle w:val="Heading2"/>
        <w:spacing w:before="300" w:after="200"/>
      </w:pPr>
      <w:r>
        <w:rPr>
          <w:rFonts w:ascii="Arial" w:cs="Arial" w:eastAsia="Arial" w:hAnsi="Arial"/>
          <w:b/>
          <w:bCs/>
          <w:color w:val="1A365D"/>
          <w:sz w:val="30"/>
          <w:szCs w:val="30"/>
        </w:rPr>
        <w:t xml:space="preserve">For Engineering Leadership</w:t>
      </w:r>
    </w:p>
    <w:p>
      <w:pPr>
        <w:spacing w:after="200" w:line="276"/>
      </w:pPr>
      <w:r>
        <w:rPr>
          <w:rFonts w:ascii="Georgia" w:cs="Georgia" w:eastAsia="Georgia" w:hAnsi="Georgia"/>
          <w:color w:val="2D3748"/>
          <w:sz w:val="24"/>
          <w:szCs w:val="24"/>
        </w:rPr>
        <w:t xml:space="preserve">Leaders gain complete visibility into AI-assisted development. No black boxes. No uncertainty about what AI is doing in the codebase. Clear metrics for tracking governance health over time.</w:t>
      </w:r>
    </w:p>
    <w:p>
      <w:pPr>
        <w:spacing w:after="200" w:line="276"/>
      </w:pPr>
      <w:r>
        <w:rPr>
          <w:rFonts w:ascii="Georgia" w:cs="Georgia" w:eastAsia="Georgia" w:hAnsi="Georgia"/>
          <w:color w:val="2D3748"/>
          <w:sz w:val="24"/>
          <w:szCs w:val="24"/>
        </w:rPr>
        <w:t xml:space="preserve">This visibility enables confident adoption of AI assistance at scale, knowing that governance keeps pace with capability.</w:t>
      </w:r>
    </w:p>
    <w:p>
      <w:pPr>
        <w:pStyle w:val="Heading2"/>
        <w:spacing w:before="300" w:after="200"/>
      </w:pPr>
      <w:r>
        <w:rPr>
          <w:rFonts w:ascii="Arial" w:cs="Arial" w:eastAsia="Arial" w:hAnsi="Arial"/>
          <w:b/>
          <w:bCs/>
          <w:color w:val="1A365D"/>
          <w:sz w:val="30"/>
          <w:szCs w:val="30"/>
        </w:rPr>
        <w:t xml:space="preserve">For Executives</w:t>
      </w:r>
    </w:p>
    <w:p>
      <w:pPr>
        <w:spacing w:after="200" w:line="276"/>
      </w:pPr>
      <w:r>
        <w:rPr>
          <w:rFonts w:ascii="Georgia" w:cs="Georgia" w:eastAsia="Georgia" w:hAnsi="Georgia"/>
          <w:color w:val="2D3748"/>
          <w:sz w:val="24"/>
          <w:szCs w:val="24"/>
        </w:rPr>
        <w:t xml:space="preserve">Executives gain risk management infrastructure that proves—rather than asserts—responsible AI usage. The difference between claiming compliance and demonstrating compliance becomes concrete.</w:t>
      </w:r>
    </w:p>
    <w:p>
      <w:pPr>
        <w:spacing w:after="200" w:line="276"/>
      </w:pPr>
      <w:r>
        <w:rPr>
          <w:rFonts w:ascii="Georgia" w:cs="Georgia" w:eastAsia="Georgia" w:hAnsi="Georgia"/>
          <w:color w:val="2D3748"/>
          <w:sz w:val="24"/>
          <w:szCs w:val="24"/>
        </w:rPr>
        <w:t xml:space="preserve">Governability metrics provide board-ready signals about AI risk posture without requiring technical interpretation.</w:t>
      </w:r>
    </w:p>
    <w:p>
      <w:pPr>
        <w:pStyle w:val="Heading2"/>
        <w:spacing w:before="300" w:after="200"/>
      </w:pPr>
      <w:r>
        <w:rPr>
          <w:rFonts w:ascii="Arial" w:cs="Arial" w:eastAsia="Arial" w:hAnsi="Arial"/>
          <w:b/>
          <w:bCs/>
          <w:color w:val="1A365D"/>
          <w:sz w:val="30"/>
          <w:szCs w:val="30"/>
        </w:rPr>
        <w:t xml:space="preserve">For Auditors and Compliance</w:t>
      </w:r>
    </w:p>
    <w:p>
      <w:pPr>
        <w:spacing w:after="200" w:line="276"/>
      </w:pPr>
      <w:r>
        <w:rPr>
          <w:rFonts w:ascii="Georgia" w:cs="Georgia" w:eastAsia="Georgia" w:hAnsi="Georgia"/>
          <w:color w:val="2D3748"/>
          <w:sz w:val="24"/>
          <w:szCs w:val="24"/>
        </w:rPr>
        <w:t xml:space="preserve">Every AI-assisted action has a cryptographically signed evidence chain. Auditors can verify any decision from intent to execution. The system cannot lie about what happened because evidence is immutable and externally verifiable.</w:t>
      </w:r>
    </w:p>
    <w:p>
      <w:pPr>
        <w:spacing w:after="200" w:line="276"/>
      </w:pPr>
      <w:r>
        <w:rPr>
          <w:rFonts w:ascii="Georgia" w:cs="Georgia" w:eastAsia="Georgia" w:hAnsi="Georgia"/>
          <w:color w:val="2D3748"/>
          <w:sz w:val="24"/>
          <w:szCs w:val="24"/>
        </w:rPr>
        <w:t xml:space="preserve">This transforms AI audits from sampling exercises to deterministic verification.</w:t>
      </w:r>
    </w:p>
    <w:p>
      <w:pPr>
        <w:pStyle w:val="Heading2"/>
        <w:spacing w:before="300" w:after="200"/>
      </w:pPr>
      <w:r>
        <w:rPr>
          <w:rFonts w:ascii="Arial" w:cs="Arial" w:eastAsia="Arial" w:hAnsi="Arial"/>
          <w:b/>
          <w:bCs/>
          <w:color w:val="1A365D"/>
          <w:sz w:val="30"/>
          <w:szCs w:val="30"/>
        </w:rPr>
        <w:t xml:space="preserve">For Investors</w:t>
      </w:r>
    </w:p>
    <w:p>
      <w:pPr>
        <w:spacing w:after="200" w:line="276"/>
      </w:pPr>
      <w:r>
        <w:rPr>
          <w:rFonts w:ascii="Georgia" w:cs="Georgia" w:eastAsia="Georgia" w:hAnsi="Georgia"/>
          <w:color w:val="2D3748"/>
          <w:sz w:val="24"/>
          <w:szCs w:val="24"/>
        </w:rPr>
        <w:t xml:space="preserve">The Forge architecture represents institutional infrastructure that compounds in value. Every decision becomes searchable institutional memory. The longer it runs, the more valuable the knowledge base becomes.</w:t>
      </w:r>
    </w:p>
    <w:p>
      <w:pPr>
        <w:spacing w:after="200" w:line="276"/>
      </w:pPr>
      <w:r>
        <w:rPr>
          <w:rFonts w:ascii="Georgia" w:cs="Georgia" w:eastAsia="Georgia" w:hAnsi="Georgia"/>
          <w:color w:val="2D3748"/>
          <w:sz w:val="24"/>
          <w:szCs w:val="24"/>
        </w:rPr>
        <w:t xml:space="preserve">This is defensible differentiation—not easily replicated by adding features to existing tools.</w:t>
      </w:r>
    </w:p>
    <w:p>
      <w:r>
        <w:br w:type="page"/>
      </w:r>
    </w:p>
    <w:p>
      <w:pPr>
        <w:pStyle w:val="Heading1"/>
        <w:spacing w:before="400" w:after="200"/>
      </w:pPr>
      <w:r>
        <w:rPr>
          <w:rFonts w:ascii="Arial" w:cs="Arial" w:eastAsia="Arial" w:hAnsi="Arial"/>
          <w:b/>
          <w:bCs/>
          <w:color w:val="1A365D"/>
          <w:sz w:val="36"/>
          <w:szCs w:val="36"/>
        </w:rPr>
        <w:t xml:space="preserve">Conclusion</w:t>
      </w:r>
    </w:p>
    <w:p>
      <w:pPr>
        <w:spacing w:after="200" w:line="276"/>
      </w:pPr>
      <w:r>
        <w:rPr>
          <w:rFonts w:ascii="Georgia" w:cs="Georgia" w:eastAsia="Georgia" w:hAnsi="Georgia"/>
          <w:color w:val="2D3748"/>
          <w:sz w:val="24"/>
          <w:szCs w:val="24"/>
        </w:rPr>
        <w:t xml:space="preserve">The difference between tools and infrastructure is fundamental. Tools help you do things. Infrastructure shapes how your organization thinks and operates.</w:t>
      </w:r>
    </w:p>
    <w:p>
      <w:pPr>
        <w:spacing w:after="200" w:line="276"/>
      </w:pPr>
      <w:r>
        <w:rPr>
          <w:rFonts w:ascii="Georgia" w:cs="Georgia" w:eastAsia="Georgia" w:hAnsi="Georgia"/>
          <w:color w:val="2D3748"/>
          <w:sz w:val="24"/>
          <w:szCs w:val="24"/>
        </w:rPr>
        <w:t xml:space="preserve">Forge is infrastructure for AI-assisted software development. It does not make AI faster or more capable. It makes AI trustworthy at scale.</w:t>
      </w:r>
    </w:p>
    <w:p>
      <w:pPr>
        <w:pBdr>
          <w:left w:val="single" w:color="3182CE" w:sz="24"/>
        </w:pBdr>
        <w:spacing w:before="200" w:after="200"/>
        <w:ind w:left="720" w:right="720"/>
      </w:pPr>
      <w:r>
        <w:rPr>
          <w:rFonts w:ascii="Georgia" w:cs="Georgia" w:eastAsia="Georgia" w:hAnsi="Georgia"/>
          <w:i/>
          <w:iCs/>
          <w:color w:val="4A5568"/>
          <w:sz w:val="24"/>
          <w:szCs w:val="24"/>
        </w:rPr>
        <w:t xml:space="preserve">Tools help you work. Infrastructure shapes how you think.</w:t>
      </w:r>
    </w:p>
    <w:p>
      <w:pPr>
        <w:spacing w:after="200" w:line="276"/>
      </w:pPr>
      <w:r>
        <w:rPr>
          <w:rFonts w:ascii="Georgia" w:cs="Georgia" w:eastAsia="Georgia" w:hAnsi="Georgia"/>
          <w:color w:val="2D3748"/>
          <w:sz w:val="24"/>
          <w:szCs w:val="24"/>
        </w:rPr>
        <w:t xml:space="preserve">After implementing the full governance architecture, Forge becomes the conscience of an engineering organization—not by making decisions, but by ensuring every decision is visible, recorded, and accountable.</w:t>
      </w:r>
    </w:p>
    <w:p>
      <w:pPr>
        <w:spacing w:after="200" w:line="276"/>
      </w:pPr>
      <w:r>
        <w:rPr>
          <w:rFonts w:ascii="Georgia" w:cs="Georgia" w:eastAsia="Georgia" w:hAnsi="Georgia"/>
          <w:color w:val="2D3748"/>
          <w:sz w:val="24"/>
          <w:szCs w:val="24"/>
        </w:rPr>
        <w:t xml:space="preserve">This is the evolution from AI assistance to AI accountability: systems that can defend themselves under cross-examination, explain their own operational patterns, and provide durable institutional memory that survives personnel changes and time.</w:t>
      </w:r>
    </w:p>
    <w:p>
      <w:pPr>
        <w:spacing w:after="200" w:line="276"/>
      </w:pPr>
      <w:r>
        <w:rPr>
          <w:rFonts w:ascii="Georgia" w:cs="Georgia" w:eastAsia="Georgia" w:hAnsi="Georgia"/>
          <w:color w:val="2D3748"/>
          <w:sz w:val="24"/>
          <w:szCs w:val="24"/>
        </w:rPr>
        <w:t xml:space="preserve">The question for organizations is no longer whether to use AI in software development. It is whether they can prove their AI usage is governed, auditable, and defensible.</w:t>
      </w:r>
    </w:p>
    <w:p>
      <w:pPr>
        <w:spacing w:after="200" w:line="276"/>
      </w:pPr>
      <w:r>
        <w:rPr>
          <w:rFonts w:ascii="Georgia" w:cs="Georgia" w:eastAsia="Georgia" w:hAnsi="Georgia"/>
          <w:color w:val="2D3748"/>
          <w:sz w:val="24"/>
          <w:szCs w:val="24"/>
        </w:rPr>
        <w:t xml:space="preserve">Forge provides that proof.</w:t>
      </w:r>
    </w:p>
    <w:p>
      <w:pPr>
        <w:spacing w:after="400"/>
      </w:pPr>
    </w:p>
    <w:p>
      <w:pPr>
        <w:pBdr>
          <w:top w:val="single" w:color="E2E8F0" w:sz="1"/>
        </w:pBdr>
        <w:spacing w:before="400" w:after="200"/>
      </w:pPr>
      <w:r>
        <w:rPr>
          <w:rFonts w:ascii="Arial" w:cs="Arial" w:eastAsia="Arial" w:hAnsi="Arial"/>
          <w:b/>
          <w:bCs/>
          <w:color w:val="1A365D"/>
          <w:sz w:val="26"/>
          <w:szCs w:val="26"/>
        </w:rPr>
        <w:t xml:space="preserve">About Boswell Digital Solutions</w:t>
      </w:r>
    </w:p>
    <w:p>
      <w:pPr>
        <w:spacing w:after="200" w:line="276"/>
      </w:pPr>
      <w:r>
        <w:rPr>
          <w:rFonts w:ascii="Georgia" w:cs="Georgia" w:eastAsia="Georgia" w:hAnsi="Georgia"/>
          <w:color w:val="2D3748"/>
          <w:sz w:val="24"/>
          <w:szCs w:val="24"/>
        </w:rPr>
        <w:t xml:space="preserve">Boswell Digital Solutions LLC builds infrastructure for trustworthy AI-assisted software development. The Forge ecosystem represents years of research into governance-first architecture, evidence-driven accountability, and the operational requirements of AI systems that must withstand scrutiny.</w:t>
      </w:r>
    </w:p>
    <w:p>
      <w:pPr>
        <w:spacing w:after="200"/>
      </w:pPr>
    </w:p>
    <w:p>
      <w:pPr>
        <w:spacing w:after="200" w:line="276"/>
      </w:pPr>
      <w:r>
        <w:rPr>
          <w:rFonts w:ascii="Georgia" w:cs="Georgia" w:eastAsia="Georgia" w:hAnsi="Georgia"/>
          <w:color w:val="2D3748"/>
          <w:sz w:val="24"/>
          <w:szCs w:val="24"/>
        </w:rPr>
        <w:t xml:space="preserve">For more information: charles@boswelldigital.com</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4A5568"/>
        <w:sz w:val="20"/>
        <w:szCs w:val="20"/>
      </w:rPr>
      <w:t xml:space="preserve">Boswell Digital Solutions LLC  |  Page </w:t>
    </w:r>
    <w:r>
      <w:rPr>
        <w:rFonts w:ascii="Arial" w:cs="Arial" w:eastAsia="Arial" w:hAnsi="Arial"/>
        <w:color w:val="4A5568"/>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i/>
        <w:iCs/>
        <w:color w:val="4A5568"/>
        <w:sz w:val="20"/>
        <w:szCs w:val="20"/>
      </w:rPr>
      <w:t xml:space="preserve">From AI Assistance to AI Accountability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400" w:after="200"/>
      <w:outlineLvl w:val="0"/>
    </w:pPr>
    <w:rPr>
      <w:rFonts w:ascii="Arial" w:cs="Arial" w:eastAsia="Arial" w:hAnsi="Arial"/>
      <w:b/>
      <w:bCs/>
      <w:color w:val="1A365D"/>
      <w:sz w:val="36"/>
      <w:szCs w:val="36"/>
    </w:rPr>
  </w:style>
  <w:style w:type="paragraph" w:styleId="Heading2">
    <w:name w:val="Heading 2"/>
    <w:basedOn w:val="Normal"/>
    <w:next w:val="Normal"/>
    <w:qFormat/>
    <w:pPr>
      <w:spacing w:before="300" w:after="200"/>
      <w:outlineLvl w:val="1"/>
    </w:pPr>
    <w:rPr>
      <w:rFonts w:ascii="Arial" w:cs="Arial" w:eastAsia="Arial" w:hAnsi="Arial"/>
      <w:b/>
      <w:bCs/>
      <w:color w:val="1A365D"/>
      <w:sz w:val="30"/>
      <w:szCs w:val="30"/>
    </w:rPr>
  </w:style>
  <w:style w:type="paragraph" w:styleId="Heading3">
    <w:name w:val="Heading 3"/>
    <w:basedOn w:val="Normal"/>
    <w:next w:val="Normal"/>
    <w:qFormat/>
    <w:pPr>
      <w:spacing w:before="240" w:after="160"/>
      <w:outlineLvl w:val="2"/>
    </w:pPr>
    <w:rPr>
      <w:rFonts w:ascii="Arial" w:cs="Arial" w:eastAsia="Arial" w:hAnsi="Arial"/>
      <w:b/>
      <w:bCs/>
      <w:color w:val="1A365D"/>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2026-02-03T05:20:26.982Z</dcterms:created>
  <dcterms:modified xsi:type="dcterms:W3CDTF">2026-02-03T05:20:26.983Z</dcterms:modified>
</cp:coreProperties>
</file>

<file path=docProps/custom.xml><?xml version="1.0" encoding="utf-8"?>
<Properties xmlns="http://schemas.openxmlformats.org/officeDocument/2006/custom-properties" xmlns:vt="http://schemas.openxmlformats.org/officeDocument/2006/docPropsVTypes"/>
</file>