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pPr>
    </w:p>
    <w:p>
      <w:pPr>
        <w:spacing w:after="120"/>
        <w:jc w:val="center"/>
      </w:pPr>
      <w:r>
        <w:rPr>
          <w:rFonts w:ascii="Arial" w:cs="Arial" w:eastAsia="Arial" w:hAnsi="Arial"/>
          <w:caps/>
          <w:color w:val="4A5568"/>
          <w:sz w:val="24"/>
          <w:szCs w:val="24"/>
        </w:rPr>
        <w:t xml:space="preserve">WHITE PAPER</w:t>
      </w:r>
    </w:p>
    <w:p>
      <w:pPr>
        <w:spacing w:after="400"/>
      </w:pPr>
    </w:p>
    <w:p>
      <w:pPr>
        <w:spacing w:after="200"/>
        <w:jc w:val="center"/>
      </w:pPr>
      <w:r>
        <w:rPr>
          <w:rFonts w:ascii="Arial" w:cs="Arial" w:eastAsia="Arial" w:hAnsi="Arial"/>
          <w:b/>
          <w:bCs/>
          <w:color w:val="1A365D"/>
          <w:sz w:val="52"/>
          <w:szCs w:val="52"/>
        </w:rPr>
        <w:t xml:space="preserve">From AI Assistance to AI Accountability</w:t>
      </w:r>
    </w:p>
    <w:p>
      <w:pPr>
        <w:spacing w:after="600"/>
        <w:jc w:val="center"/>
      </w:pPr>
      <w:r>
        <w:rPr>
          <w:rFonts w:ascii="Times New Roman" w:cs="Times New Roman" w:eastAsia="Times New Roman" w:hAnsi="Times New Roman"/>
          <w:i/>
          <w:iCs/>
          <w:color w:val="4A5568"/>
          <w:sz w:val="26"/>
          <w:szCs w:val="26"/>
        </w:rPr>
        <w:t xml:space="preserve">A Governance-First Architecture for AI-Assisted Software Engineering (AISE)</w:t>
      </w:r>
    </w:p>
    <w:p>
      <w:pPr>
        <w:spacing w:after="800"/>
      </w:pPr>
    </w:p>
    <w:p>
      <w:pPr>
        <w:spacing w:after="120"/>
        <w:jc w:val="center"/>
      </w:pPr>
      <w:r>
        <w:rPr>
          <w:rFonts w:ascii="Times New Roman" w:cs="Times New Roman" w:eastAsia="Times New Roman" w:hAnsi="Times New Roman"/>
          <w:color w:val="2D3748"/>
          <w:sz w:val="24"/>
          <w:szCs w:val="24"/>
        </w:rPr>
        <w:t xml:space="preserve">Author: Charles Boswell</w:t>
      </w:r>
    </w:p>
    <w:p>
      <w:pPr>
        <w:spacing w:after="120"/>
        <w:jc w:val="center"/>
      </w:pPr>
      <w:r>
        <w:rPr>
          <w:rFonts w:ascii="Times New Roman" w:cs="Times New Roman" w:eastAsia="Times New Roman" w:hAnsi="Times New Roman"/>
          <w:color w:val="2D3748"/>
          <w:sz w:val="24"/>
          <w:szCs w:val="24"/>
        </w:rPr>
        <w:t xml:space="preserve">Organization: Boswell Digital Solutions LLC</w:t>
      </w:r>
    </w:p>
    <w:p>
      <w:pPr>
        <w:spacing w:after="120"/>
        <w:jc w:val="center"/>
      </w:pPr>
      <w:r>
        <w:rPr>
          <w:rFonts w:ascii="Times New Roman" w:cs="Times New Roman" w:eastAsia="Times New Roman" w:hAnsi="Times New Roman"/>
          <w:color w:val="2D3748"/>
          <w:sz w:val="24"/>
          <w:szCs w:val="24"/>
        </w:rPr>
        <w:t xml:space="preserve">Date: February 2026</w:t>
      </w:r>
    </w:p>
    <w:p>
      <w:pPr>
        <w:spacing w:after="600"/>
        <w:jc w:val="center"/>
      </w:pPr>
      <w:r>
        <w:rPr>
          <w:rFonts w:ascii="Times New Roman" w:cs="Times New Roman" w:eastAsia="Times New Roman" w:hAnsi="Times New Roman"/>
          <w:color w:val="2D3748"/>
          <w:sz w:val="24"/>
          <w:szCs w:val="24"/>
        </w:rPr>
        <w:t xml:space="preserve">Version: 2.0 (Academic Revision)</w:t>
      </w:r>
    </w:p>
    <w:p>
      <w:pPr>
        <w:spacing w:after="1200"/>
      </w:pPr>
    </w:p>
    <w:p>
      <w:pPr>
        <w:pBdr>
          <w:top w:val="single" w:color="E2E8F0" w:sz="1"/>
        </w:pBdr>
        <w:spacing w:before="400"/>
        <w:jc w:val="center"/>
      </w:pPr>
      <w:r>
        <w:rPr>
          <w:rFonts w:ascii="Times New Roman" w:cs="Times New Roman" w:eastAsia="Times New Roman" w:hAnsi="Times New Roman"/>
          <w:i/>
          <w:iCs/>
          <w:color w:val="4A5568"/>
          <w:sz w:val="20"/>
          <w:szCs w:val="20"/>
        </w:rPr>
        <w:t xml:space="preserve">Keywords: AI Governance, Explainable AI, Software Engineering, Accountability, Evidence Chains</w:t>
      </w:r>
    </w:p>
    <w:p>
      <w:pPr>
        <w:sectPr>
          <w:pgSz w:w="12240" w:h="15840" w:orient="portrait"/>
          <w:pgMar w:top="2880" w:right="1440" w:bottom="1440" w:left="1440" w:header="708" w:footer="708" w:gutter="0"/>
          <w:pgNumType/>
          <w:docGrid w:linePitch="360"/>
        </w:sectPr>
      </w:pPr>
    </w:p>
    <w:p>
      <w:pPr>
        <w:pStyle w:val="Heading1"/>
        <w:spacing w:before="400" w:after="200"/>
      </w:pPr>
      <w:r>
        <w:rPr>
          <w:rFonts w:ascii="Arial" w:cs="Arial" w:eastAsia="Arial" w:hAnsi="Arial"/>
          <w:b/>
          <w:bCs/>
          <w:color w:val="1A365D"/>
          <w:sz w:val="32"/>
          <w:szCs w:val="32"/>
        </w:rPr>
        <w:t xml:space="preserve">Executive Summary</w:t>
      </w:r>
    </w:p>
    <w:p>
      <w:pPr>
        <w:spacing w:after="200" w:line="276"/>
        <w:jc w:val="both"/>
      </w:pPr>
      <w:r>
        <w:rPr>
          <w:rFonts w:ascii="Times New Roman" w:cs="Times New Roman" w:eastAsia="Times New Roman" w:hAnsi="Times New Roman"/>
          <w:color w:val="2D3748"/>
          <w:sz w:val="24"/>
          <w:szCs w:val="24"/>
        </w:rPr>
        <w:t xml:space="preserve">As Large Language Models (LLMs) transition from autocomplete tools to autonomous agents, the software engineering industry faces what researchers call the Accountability Gap. While AI increases velocity, it simultaneously degrades the lineage of intent—the ability to trace a code change back to a human requirement and a verified rationale.</w:t>
      </w:r>
    </w:p>
    <w:p>
      <w:pPr>
        <w:spacing w:after="200" w:line="276"/>
        <w:jc w:val="both"/>
      </w:pPr>
      <w:r>
        <w:rPr>
          <w:rFonts w:ascii="Times New Roman" w:cs="Times New Roman" w:eastAsia="Times New Roman" w:hAnsi="Times New Roman"/>
          <w:color w:val="2D3748"/>
          <w:sz w:val="24"/>
          <w:szCs w:val="24"/>
        </w:rPr>
        <w:t xml:space="preserve">Current academic discourse (Bender et al., 2021; Bommasani et al., 2022) warns that stochastic generation lacks the causal reasoning required for high-stakes infrastructure. This paper proposes the Forge Architecture, a governance-first framework that moves beyond Human-in-the-Loop to Human-as-Authority. By enforcing a strict decoupling of Proposal (AI) from Execution (Human) and utilizing cryptographically immutable evidence chains, Forge provides a deterministic solution to the probabilistic risks of AI-assisted development.</w:t>
      </w:r>
    </w:p>
    <w:p>
      <w:r>
        <w:br w:type="page"/>
      </w:r>
    </w:p>
    <w:p>
      <w:pPr>
        <w:pStyle w:val="Heading1"/>
        <w:spacing w:before="400" w:after="200"/>
      </w:pPr>
      <w:r>
        <w:rPr>
          <w:rFonts w:ascii="Arial" w:cs="Arial" w:eastAsia="Arial" w:hAnsi="Arial"/>
          <w:b/>
          <w:bCs/>
          <w:color w:val="1A365D"/>
          <w:sz w:val="32"/>
          <w:szCs w:val="32"/>
        </w:rPr>
        <w:t xml:space="preserve">I. The Problem: The Entropy of Unmonitored Synthesis</w:t>
      </w:r>
    </w:p>
    <w:p>
      <w:pPr>
        <w:spacing w:after="200" w:line="276"/>
        <w:jc w:val="both"/>
      </w:pPr>
      <w:r>
        <w:rPr>
          <w:rFonts w:ascii="Times New Roman" w:cs="Times New Roman" w:eastAsia="Times New Roman" w:hAnsi="Times New Roman"/>
          <w:color w:val="2D3748"/>
          <w:sz w:val="24"/>
          <w:szCs w:val="24"/>
        </w:rPr>
        <w:t xml:space="preserve">The adoption of AI in software development has created an Accountability Vacuum. In traditional engineering, Git Blame or Commit History serves as a proxy for intent. In the age of AI, these records are increasingly populated by ghost-authored code—synthesized logic that no human fully internalizes or justifies.</w:t>
      </w:r>
    </w:p>
    <w:p>
      <w:pPr>
        <w:pStyle w:val="Heading2"/>
        <w:spacing w:before="300" w:after="160"/>
      </w:pPr>
      <w:r>
        <w:rPr>
          <w:rFonts w:ascii="Arial" w:cs="Arial" w:eastAsia="Arial" w:hAnsi="Arial"/>
          <w:b/>
          <w:bCs/>
          <w:color w:val="1A365D"/>
          <w:sz w:val="26"/>
          <w:szCs w:val="26"/>
        </w:rPr>
        <w:t xml:space="preserve">1.1 The Black Box of Engineering Decisions</w:t>
      </w:r>
    </w:p>
    <w:p>
      <w:pPr>
        <w:spacing w:after="200" w:line="276"/>
        <w:jc w:val="both"/>
      </w:pPr>
      <w:r>
        <w:rPr>
          <w:rFonts w:ascii="Times New Roman" w:cs="Times New Roman" w:eastAsia="Times New Roman" w:hAnsi="Times New Roman"/>
          <w:color w:val="2D3748"/>
          <w:sz w:val="24"/>
          <w:szCs w:val="24"/>
        </w:rPr>
        <w:t xml:space="preserve">Research into Explainable AI (XAI) suggests that post-hoc explanations (asking an AI why it wrote code) are often hallucinated justifications rather than reflections of the actual weights used during inference (Rudin, 2019). Most organizations currently lack:</w:t>
      </w:r>
    </w:p>
    <w:p>
      <w:pPr>
        <w:spacing w:after="120"/>
        <w:ind w:left="720"/>
      </w:pPr>
      <w:r>
        <w:rPr>
          <w:rFonts w:ascii="Times New Roman" w:cs="Times New Roman" w:eastAsia="Times New Roman" w:hAnsi="Times New Roman"/>
          <w:b/>
          <w:bCs/>
          <w:color w:val="2D3748"/>
          <w:sz w:val="24"/>
          <w:szCs w:val="24"/>
        </w:rPr>
        <w:t xml:space="preserve">Causal Lineage: </w:t>
      </w:r>
      <w:r>
        <w:rPr>
          <w:rFonts w:ascii="Times New Roman" w:cs="Times New Roman" w:eastAsia="Times New Roman" w:hAnsi="Times New Roman"/>
          <w:color w:val="2D3748"/>
          <w:sz w:val="24"/>
          <w:szCs w:val="24"/>
        </w:rPr>
        <w:t xml:space="preserve">The Why behind a specific architectural trade-off.</w:t>
      </w:r>
    </w:p>
    <w:p>
      <w:pPr>
        <w:spacing w:after="120"/>
        <w:ind w:left="720"/>
      </w:pPr>
      <w:r>
        <w:rPr>
          <w:rFonts w:ascii="Times New Roman" w:cs="Times New Roman" w:eastAsia="Times New Roman" w:hAnsi="Times New Roman"/>
          <w:b/>
          <w:bCs/>
          <w:color w:val="2D3748"/>
          <w:sz w:val="24"/>
          <w:szCs w:val="24"/>
        </w:rPr>
        <w:t xml:space="preserve">Authorization Provenance: </w:t>
      </w:r>
      <w:r>
        <w:rPr>
          <w:rFonts w:ascii="Times New Roman" w:cs="Times New Roman" w:eastAsia="Times New Roman" w:hAnsi="Times New Roman"/>
          <w:color w:val="2D3748"/>
          <w:sz w:val="24"/>
          <w:szCs w:val="24"/>
        </w:rPr>
        <w:t xml:space="preserve">Proof that a human did not just click through a suggestion but actively verified it.</w:t>
      </w:r>
    </w:p>
    <w:p>
      <w:pPr>
        <w:spacing w:after="120"/>
        <w:ind w:left="720"/>
      </w:pPr>
      <w:r>
        <w:rPr>
          <w:rFonts w:ascii="Times New Roman" w:cs="Times New Roman" w:eastAsia="Times New Roman" w:hAnsi="Times New Roman"/>
          <w:b/>
          <w:bCs/>
          <w:color w:val="2D3748"/>
          <w:sz w:val="24"/>
          <w:szCs w:val="24"/>
        </w:rPr>
        <w:t xml:space="preserve">Policy Synchronicity: </w:t>
      </w:r>
      <w:r>
        <w:rPr>
          <w:rFonts w:ascii="Times New Roman" w:cs="Times New Roman" w:eastAsia="Times New Roman" w:hAnsi="Times New Roman"/>
          <w:color w:val="2D3748"/>
          <w:sz w:val="24"/>
          <w:szCs w:val="24"/>
        </w:rPr>
        <w:t xml:space="preserve">Evidence that a code change complied with the specific version of the security policy active at the time of commit.</w:t>
      </w:r>
    </w:p>
    <w:p>
      <w:pPr>
        <w:pStyle w:val="Heading2"/>
        <w:spacing w:before="300" w:after="160"/>
      </w:pPr>
      <w:r>
        <w:rPr>
          <w:rFonts w:ascii="Arial" w:cs="Arial" w:eastAsia="Arial" w:hAnsi="Arial"/>
          <w:b/>
          <w:bCs/>
          <w:color w:val="1A365D"/>
          <w:sz w:val="26"/>
          <w:szCs w:val="26"/>
        </w:rPr>
        <w:t xml:space="preserve">1.2 The Consequences: Automated Negligence</w:t>
      </w:r>
    </w:p>
    <w:p>
      <w:pPr>
        <w:spacing w:after="200" w:line="276"/>
        <w:jc w:val="both"/>
      </w:pPr>
      <w:r>
        <w:rPr>
          <w:rFonts w:ascii="Times New Roman" w:cs="Times New Roman" w:eastAsia="Times New Roman" w:hAnsi="Times New Roman"/>
          <w:color w:val="2D3748"/>
          <w:sz w:val="24"/>
          <w:szCs w:val="24"/>
        </w:rPr>
        <w:t xml:space="preserve">Without a governance layer, organizations face Automated Negligence—a state where technical debt accumulates at the speed of inference. This leads to:</w:t>
      </w:r>
    </w:p>
    <w:p>
      <w:pPr>
        <w:spacing w:after="120"/>
        <w:ind w:left="720"/>
      </w:pPr>
      <w:r>
        <w:rPr>
          <w:rFonts w:ascii="Times New Roman" w:cs="Times New Roman" w:eastAsia="Times New Roman" w:hAnsi="Times New Roman"/>
          <w:b/>
          <w:bCs/>
          <w:color w:val="2D3748"/>
          <w:sz w:val="24"/>
          <w:szCs w:val="24"/>
        </w:rPr>
        <w:t xml:space="preserve">Legal In-defensibility: </w:t>
      </w:r>
      <w:r>
        <w:rPr>
          <w:rFonts w:ascii="Times New Roman" w:cs="Times New Roman" w:eastAsia="Times New Roman" w:hAnsi="Times New Roman"/>
          <w:color w:val="2D3748"/>
          <w:sz w:val="24"/>
          <w:szCs w:val="24"/>
        </w:rPr>
        <w:t xml:space="preserve">Inability to meet the Duty of Care standard in software litigation.</w:t>
      </w:r>
    </w:p>
    <w:p>
      <w:pPr>
        <w:spacing w:after="120"/>
        <w:ind w:left="720"/>
      </w:pPr>
      <w:r>
        <w:rPr>
          <w:rFonts w:ascii="Times New Roman" w:cs="Times New Roman" w:eastAsia="Times New Roman" w:hAnsi="Times New Roman"/>
          <w:b/>
          <w:bCs/>
          <w:color w:val="2D3748"/>
          <w:sz w:val="24"/>
          <w:szCs w:val="24"/>
        </w:rPr>
        <w:t xml:space="preserve">Knowledge Atrophy: </w:t>
      </w:r>
      <w:r>
        <w:rPr>
          <w:rFonts w:ascii="Times New Roman" w:cs="Times New Roman" w:eastAsia="Times New Roman" w:hAnsi="Times New Roman"/>
          <w:color w:val="2D3748"/>
          <w:sz w:val="24"/>
          <w:szCs w:val="24"/>
        </w:rPr>
        <w:t xml:space="preserve">The Institutional Memory of the codebase is held by the model provider (OpenAI/Anthropic) rather than the engineering team.</w:t>
      </w:r>
    </w:p>
    <w:p>
      <w:r>
        <w:br w:type="page"/>
      </w:r>
    </w:p>
    <w:p>
      <w:pPr>
        <w:pStyle w:val="Heading1"/>
        <w:spacing w:before="400" w:after="200"/>
      </w:pPr>
      <w:r>
        <w:rPr>
          <w:rFonts w:ascii="Arial" w:cs="Arial" w:eastAsia="Arial" w:hAnsi="Arial"/>
          <w:b/>
          <w:bCs/>
          <w:color w:val="1A365D"/>
          <w:sz w:val="32"/>
          <w:szCs w:val="32"/>
        </w:rPr>
        <w:t xml:space="preserve">II. Design Principles: Bridging Safety and Velocity</w:t>
      </w:r>
    </w:p>
    <w:p>
      <w:pPr>
        <w:spacing w:after="200" w:line="276"/>
        <w:jc w:val="both"/>
      </w:pPr>
      <w:r>
        <w:rPr>
          <w:rFonts w:ascii="Times New Roman" w:cs="Times New Roman" w:eastAsia="Times New Roman" w:hAnsi="Times New Roman"/>
          <w:color w:val="2D3748"/>
          <w:sz w:val="24"/>
          <w:szCs w:val="24"/>
        </w:rPr>
        <w:t xml:space="preserve">The Forge architecture is grounded in four principles that address the core concerns of AI Safety and Alignment.</w:t>
      </w:r>
    </w:p>
    <w:p>
      <w:pPr>
        <w:pStyle w:val="Heading2"/>
        <w:spacing w:before="300" w:after="160"/>
      </w:pPr>
      <w:r>
        <w:rPr>
          <w:rFonts w:ascii="Arial" w:cs="Arial" w:eastAsia="Arial" w:hAnsi="Arial"/>
          <w:b/>
          <w:bCs/>
          <w:color w:val="1A365D"/>
          <w:sz w:val="26"/>
          <w:szCs w:val="26"/>
        </w:rPr>
        <w:t xml:space="preserve">Principle 1: Asymmetric Agency (AI Proposes, Humans Decide)</w:t>
      </w:r>
    </w:p>
    <w:p>
      <w:pPr>
        <w:spacing w:after="200" w:line="276"/>
        <w:jc w:val="both"/>
      </w:pPr>
      <w:r>
        <w:rPr>
          <w:rFonts w:ascii="Times New Roman" w:cs="Times New Roman" w:eastAsia="Times New Roman" w:hAnsi="Times New Roman"/>
          <w:color w:val="2D3748"/>
          <w:sz w:val="24"/>
          <w:szCs w:val="24"/>
        </w:rPr>
        <w:t xml:space="preserve">In alignment research, the Off-Switch Problem (Hadfield-Menell et al., 2017) highlights the risk of autonomous agents bypassing human overrides to achieve a goal. Forge eliminates this at the architectural level. AI is denied write-access to the production environment; it is restricted to the Proposal Space.</w:t>
      </w:r>
    </w:p>
    <w:p>
      <w:pPr>
        <w:pStyle w:val="Heading2"/>
        <w:spacing w:before="300" w:after="160"/>
      </w:pPr>
      <w:r>
        <w:rPr>
          <w:rFonts w:ascii="Arial" w:cs="Arial" w:eastAsia="Arial" w:hAnsi="Arial"/>
          <w:b/>
          <w:bCs/>
          <w:color w:val="1A365D"/>
          <w:sz w:val="26"/>
          <w:szCs w:val="26"/>
        </w:rPr>
        <w:t xml:space="preserve">Principle 2: Cryptographic Evidence (Not Logs)</w:t>
      </w:r>
    </w:p>
    <w:p>
      <w:pPr>
        <w:spacing w:after="200" w:line="276"/>
        <w:jc w:val="both"/>
      </w:pPr>
      <w:r>
        <w:rPr>
          <w:rFonts w:ascii="Times New Roman" w:cs="Times New Roman" w:eastAsia="Times New Roman" w:hAnsi="Times New Roman"/>
          <w:color w:val="2D3748"/>
          <w:sz w:val="24"/>
          <w:szCs w:val="24"/>
        </w:rPr>
        <w:t xml:space="preserve">Standard logging is insufficient for Audit-Grade Accountability. Following the principles of Distributed Ledger Technology (DLT), Forge treats every decision as a transaction.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CCCCCC" w:sz="1"/>
              <w:left w:val="single" w:color="CCCCCC" w:sz="1"/>
              <w:bottom w:val="single" w:color="CCCCCC" w:sz="1"/>
              <w:right w:val="single" w:color="CCCCCC" w:sz="1"/>
            </w:tcBorders>
            <w:shd w:fill="1A365D" w:val="clear"/>
            <w:tcMar>
              <w:top w:type="dxa" w:w="80"/>
              <w:left w:type="dxa" w:w="100"/>
              <w:bottom w:type="dxa" w:w="80"/>
              <w:right w:type="dxa" w:w="100"/>
            </w:tcMar>
          </w:tcPr>
          <w:p>
            <w:r>
              <w:rPr>
                <w:rFonts w:ascii="Arial" w:cs="Arial" w:eastAsia="Arial" w:hAnsi="Arial"/>
                <w:b/>
                <w:bCs/>
                <w:color w:val="FFFFFF"/>
                <w:sz w:val="20"/>
                <w:szCs w:val="20"/>
              </w:rPr>
              <w:t xml:space="preserve">Logging</w:t>
            </w:r>
          </w:p>
        </w:tc>
        <w:tc>
          <w:tcPr>
            <w:tcW w:type="dxa" w:w="4680"/>
            <w:tcBorders>
              <w:top w:val="single" w:color="CCCCCC" w:sz="1"/>
              <w:left w:val="single" w:color="CCCCCC" w:sz="1"/>
              <w:bottom w:val="single" w:color="CCCCCC" w:sz="1"/>
              <w:right w:val="single" w:color="CCCCCC" w:sz="1"/>
            </w:tcBorders>
            <w:shd w:fill="1A365D" w:val="clear"/>
            <w:tcMar>
              <w:top w:type="dxa" w:w="80"/>
              <w:left w:type="dxa" w:w="100"/>
              <w:bottom w:type="dxa" w:w="80"/>
              <w:right w:type="dxa" w:w="100"/>
            </w:tcMar>
          </w:tcPr>
          <w:p>
            <w:r>
              <w:rPr>
                <w:rFonts w:ascii="Arial" w:cs="Arial" w:eastAsia="Arial" w:hAnsi="Arial"/>
                <w:b/>
                <w:bCs/>
                <w:color w:val="FFFFFF"/>
                <w:sz w:val="20"/>
                <w:szCs w:val="20"/>
              </w:rPr>
              <w:t xml:space="preserve">Evidence</w:t>
            </w:r>
          </w:p>
        </w:tc>
      </w:tr>
      <w:tr>
        <w:tc>
          <w:tcPr>
            <w:tcW w:type="dxa" w:w="468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Tells you what happened</w:t>
            </w:r>
          </w:p>
        </w:tc>
        <w:tc>
          <w:tcPr>
            <w:tcW w:type="dxa" w:w="468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Proves who authorized it and why</w:t>
            </w:r>
          </w:p>
        </w:tc>
      </w:tr>
      <w:tr>
        <w:tc>
          <w:tcPr>
            <w:tcW w:type="dxa" w:w="468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Mutable (can be altered)</w:t>
            </w:r>
          </w:p>
        </w:tc>
        <w:tc>
          <w:tcPr>
            <w:tcW w:type="dxa" w:w="468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Immutable (cryptographically sealed)</w:t>
            </w:r>
          </w:p>
        </w:tc>
      </w:tr>
      <w:tr>
        <w:tc>
          <w:tcPr>
            <w:tcW w:type="dxa" w:w="468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Debugging artifact</w:t>
            </w:r>
          </w:p>
        </w:tc>
        <w:tc>
          <w:tcPr>
            <w:tcW w:type="dxa" w:w="468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Legal artifact</w:t>
            </w:r>
          </w:p>
        </w:tc>
      </w:tr>
      <w:tr>
        <w:tc>
          <w:tcPr>
            <w:tcW w:type="dxa" w:w="468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Technical utility</w:t>
            </w:r>
          </w:p>
        </w:tc>
        <w:tc>
          <w:tcPr>
            <w:tcW w:type="dxa" w:w="468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Governance utility</w:t>
            </w:r>
          </w:p>
        </w:tc>
      </w:tr>
    </w:tbl>
    <w:p>
      <w:pPr>
        <w:spacing w:after="200"/>
      </w:pPr>
    </w:p>
    <w:p>
      <w:pPr>
        <w:pStyle w:val="Heading2"/>
        <w:spacing w:before="300" w:after="160"/>
      </w:pPr>
      <w:r>
        <w:rPr>
          <w:rFonts w:ascii="Arial" w:cs="Arial" w:eastAsia="Arial" w:hAnsi="Arial"/>
          <w:b/>
          <w:bCs/>
          <w:color w:val="1A365D"/>
          <w:sz w:val="26"/>
          <w:szCs w:val="26"/>
        </w:rPr>
        <w:t xml:space="preserve">Principle 3: Constitutional Constraints</w:t>
      </w:r>
    </w:p>
    <w:p>
      <w:pPr>
        <w:spacing w:after="200" w:line="276"/>
        <w:jc w:val="both"/>
      </w:pPr>
      <w:r>
        <w:rPr>
          <w:rFonts w:ascii="Times New Roman" w:cs="Times New Roman" w:eastAsia="Times New Roman" w:hAnsi="Times New Roman"/>
          <w:color w:val="2D3748"/>
          <w:sz w:val="24"/>
          <w:szCs w:val="24"/>
        </w:rPr>
        <w:t xml:space="preserve">Inspired by Constitutional AI (Askell et al., 2021), ForgeAgents operate under a set of bounded capabilities. Instead of a general-purpose agent, Forge utilizes specialized actors with narrow Action Spaces, reducing the surface area for unexpected model behavior.</w:t>
      </w:r>
    </w:p>
    <w:p>
      <w:pPr>
        <w:pStyle w:val="Heading2"/>
        <w:spacing w:before="300" w:after="160"/>
      </w:pPr>
      <w:r>
        <w:rPr>
          <w:rFonts w:ascii="Arial" w:cs="Arial" w:eastAsia="Arial" w:hAnsi="Arial"/>
          <w:b/>
          <w:bCs/>
          <w:color w:val="1A365D"/>
          <w:sz w:val="26"/>
          <w:szCs w:val="26"/>
        </w:rPr>
        <w:t xml:space="preserve">Principle 4: Measurable Trust</w:t>
      </w:r>
    </w:p>
    <w:p>
      <w:pPr>
        <w:spacing w:after="200" w:line="276"/>
        <w:jc w:val="both"/>
      </w:pPr>
      <w:r>
        <w:rPr>
          <w:rFonts w:ascii="Times New Roman" w:cs="Times New Roman" w:eastAsia="Times New Roman" w:hAnsi="Times New Roman"/>
          <w:color w:val="2D3748"/>
          <w:sz w:val="24"/>
          <w:szCs w:val="24"/>
        </w:rPr>
        <w:t xml:space="preserve">Trust cannot remain a subjective assessment. The Forge architecture introduces quantifiable governance metrics that transform trust from a feeling into a measurable signal.</w:t>
      </w:r>
    </w:p>
    <w:p>
      <w:r>
        <w:br w:type="page"/>
      </w:r>
    </w:p>
    <w:p>
      <w:pPr>
        <w:pStyle w:val="Heading1"/>
        <w:spacing w:before="400" w:after="200"/>
      </w:pPr>
      <w:r>
        <w:rPr>
          <w:rFonts w:ascii="Arial" w:cs="Arial" w:eastAsia="Arial" w:hAnsi="Arial"/>
          <w:b/>
          <w:bCs/>
          <w:color w:val="1A365D"/>
          <w:sz w:val="32"/>
          <w:szCs w:val="32"/>
        </w:rPr>
        <w:t xml:space="preserve">III. The Forge Architecture: A Governance Stack</w:t>
      </w:r>
    </w:p>
    <w:p>
      <w:pPr>
        <w:spacing w:after="200" w:line="276"/>
        <w:jc w:val="both"/>
      </w:pPr>
      <w:r>
        <w:rPr>
          <w:rFonts w:ascii="Times New Roman" w:cs="Times New Roman" w:eastAsia="Times New Roman" w:hAnsi="Times New Roman"/>
          <w:color w:val="2D3748"/>
          <w:sz w:val="24"/>
          <w:szCs w:val="24"/>
        </w:rPr>
        <w:t xml:space="preserve">The Forge ecosystem implements a multi-layered defense-in-depth strategy for AI governance.</w:t>
      </w:r>
    </w:p>
    <w:p>
      <w:pPr>
        <w:pStyle w:val="Heading2"/>
        <w:spacing w:before="300" w:after="160"/>
      </w:pPr>
      <w:r>
        <w:rPr>
          <w:rFonts w:ascii="Arial" w:cs="Arial" w:eastAsia="Arial" w:hAnsi="Arial"/>
          <w:b/>
          <w:bCs/>
          <w:color w:val="1A365D"/>
          <w:sz w:val="26"/>
          <w:szCs w:val="26"/>
        </w:rPr>
        <w:t xml:space="preserve">3.1 Forge:SMITH (The State-Machine Guardrail)</w:t>
      </w:r>
    </w:p>
    <w:p>
      <w:pPr>
        <w:spacing w:after="200" w:line="276"/>
        <w:jc w:val="both"/>
      </w:pPr>
      <w:r>
        <w:rPr>
          <w:rFonts w:ascii="Times New Roman" w:cs="Times New Roman" w:eastAsia="Times New Roman" w:hAnsi="Times New Roman"/>
          <w:color w:val="2D3748"/>
          <w:sz w:val="24"/>
          <w:szCs w:val="24"/>
        </w:rPr>
        <w:t xml:space="preserve">SMITH replaces the standard CI/CD pipeline with a 10-State Governance Pipeline. This is a formal implementation of Gatekeeper Design Patterns.</w:t>
      </w:r>
    </w:p>
    <w:p>
      <w:pPr>
        <w:spacing w:after="120"/>
        <w:ind w:left="720"/>
      </w:pPr>
      <w:r>
        <w:rPr>
          <w:rFonts w:ascii="Times New Roman" w:cs="Times New Roman" w:eastAsia="Times New Roman" w:hAnsi="Times New Roman"/>
          <w:b/>
          <w:bCs/>
          <w:color w:val="2D3748"/>
          <w:sz w:val="24"/>
          <w:szCs w:val="24"/>
        </w:rPr>
        <w:t xml:space="preserve">V10 Ladder: </w:t>
      </w:r>
      <w:r>
        <w:rPr>
          <w:rFonts w:ascii="Times New Roman" w:cs="Times New Roman" w:eastAsia="Times New Roman" w:hAnsi="Times New Roman"/>
          <w:color w:val="2D3748"/>
          <w:sz w:val="24"/>
          <w:szCs w:val="24"/>
        </w:rPr>
        <w:t xml:space="preserve">A code change cannot move from PROPOSED to MERGED without satisfying a progressive ladder of checks, including AST (Abstract Syntax Tree) verification and cryptographically signed RunIntent.v1 contracts.</w:t>
      </w:r>
    </w:p>
    <w:p>
      <w:pPr>
        <w:spacing w:after="200" w:line="276"/>
        <w:jc w:val="both"/>
      </w:pPr>
      <w:r>
        <w:rPr>
          <w:rFonts w:ascii="Times New Roman" w:cs="Times New Roman" w:eastAsia="Times New Roman" w:hAnsi="Times New Roman"/>
          <w:color w:val="2D3748"/>
          <w:sz w:val="24"/>
          <w:szCs w:val="24"/>
        </w:rPr>
        <w:t xml:space="preserve">The V10 Verification Ladder implements progressive validation: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2000"/>
        <w:gridCol w:w="3500"/>
        <w:gridCol w:w="3860"/>
      </w:tblGrid>
      <w:tr>
        <w:tc>
          <w:tcPr>
            <w:tcW w:type="dxa" w:w="2000"/>
            <w:tcBorders>
              <w:top w:val="single" w:color="CCCCCC" w:sz="1"/>
              <w:left w:val="single" w:color="CCCCCC" w:sz="1"/>
              <w:bottom w:val="single" w:color="CCCCCC" w:sz="1"/>
              <w:right w:val="single" w:color="CCCCCC" w:sz="1"/>
            </w:tcBorders>
            <w:shd w:fill="1A365D" w:val="clear"/>
            <w:tcMar>
              <w:top w:type="dxa" w:w="80"/>
              <w:left w:type="dxa" w:w="100"/>
              <w:bottom w:type="dxa" w:w="80"/>
              <w:right w:type="dxa" w:w="100"/>
            </w:tcMar>
          </w:tcPr>
          <w:p>
            <w:r>
              <w:rPr>
                <w:rFonts w:ascii="Arial" w:cs="Arial" w:eastAsia="Arial" w:hAnsi="Arial"/>
                <w:b/>
                <w:bCs/>
                <w:color w:val="FFFFFF"/>
                <w:sz w:val="20"/>
                <w:szCs w:val="20"/>
              </w:rPr>
              <w:t xml:space="preserve">Sub-Tier</w:t>
            </w:r>
          </w:p>
        </w:tc>
        <w:tc>
          <w:tcPr>
            <w:tcW w:type="dxa" w:w="3500"/>
            <w:tcBorders>
              <w:top w:val="single" w:color="CCCCCC" w:sz="1"/>
              <w:left w:val="single" w:color="CCCCCC" w:sz="1"/>
              <w:bottom w:val="single" w:color="CCCCCC" w:sz="1"/>
              <w:right w:val="single" w:color="CCCCCC" w:sz="1"/>
            </w:tcBorders>
            <w:shd w:fill="1A365D" w:val="clear"/>
            <w:tcMar>
              <w:top w:type="dxa" w:w="80"/>
              <w:left w:type="dxa" w:w="100"/>
              <w:bottom w:type="dxa" w:w="80"/>
              <w:right w:type="dxa" w:w="100"/>
            </w:tcMar>
          </w:tcPr>
          <w:p>
            <w:r>
              <w:rPr>
                <w:rFonts w:ascii="Arial" w:cs="Arial" w:eastAsia="Arial" w:hAnsi="Arial"/>
                <w:b/>
                <w:bCs/>
                <w:color w:val="FFFFFF"/>
                <w:sz w:val="20"/>
                <w:szCs w:val="20"/>
              </w:rPr>
              <w:t xml:space="preserve">Verification Type</w:t>
            </w:r>
          </w:p>
        </w:tc>
        <w:tc>
          <w:tcPr>
            <w:tcW w:type="dxa" w:w="3860"/>
            <w:tcBorders>
              <w:top w:val="single" w:color="CCCCCC" w:sz="1"/>
              <w:left w:val="single" w:color="CCCCCC" w:sz="1"/>
              <w:bottom w:val="single" w:color="CCCCCC" w:sz="1"/>
              <w:right w:val="single" w:color="CCCCCC" w:sz="1"/>
            </w:tcBorders>
            <w:shd w:fill="1A365D" w:val="clear"/>
            <w:tcMar>
              <w:top w:type="dxa" w:w="80"/>
              <w:left w:type="dxa" w:w="100"/>
              <w:bottom w:type="dxa" w:w="80"/>
              <w:right w:type="dxa" w:w="100"/>
            </w:tcMar>
          </w:tcPr>
          <w:p>
            <w:r>
              <w:rPr>
                <w:rFonts w:ascii="Arial" w:cs="Arial" w:eastAsia="Arial" w:hAnsi="Arial"/>
                <w:b/>
                <w:bCs/>
                <w:color w:val="FFFFFF"/>
                <w:sz w:val="20"/>
                <w:szCs w:val="20"/>
              </w:rPr>
              <w:t xml:space="preserve">Academic Alignment</w:t>
            </w:r>
          </w:p>
        </w:tc>
      </w:tr>
      <w:tr>
        <w:tc>
          <w:tcPr>
            <w:tcW w:type="dxa" w:w="2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V10.1</w:t>
            </w:r>
          </w:p>
        </w:tc>
        <w:tc>
          <w:tcPr>
            <w:tcW w:type="dxa" w:w="3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AST_PARSE (Syntax)</w:t>
            </w:r>
          </w:p>
        </w:tc>
        <w:tc>
          <w:tcPr>
            <w:tcW w:type="dxa" w:w="38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Formal Grammar Verification</w:t>
            </w:r>
          </w:p>
        </w:tc>
      </w:tr>
      <w:tr>
        <w:tc>
          <w:tcPr>
            <w:tcW w:type="dxa" w:w="2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V10.1b</w:t>
            </w:r>
          </w:p>
        </w:tc>
        <w:tc>
          <w:tcPr>
            <w:tcW w:type="dxa" w:w="3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AST_SEMANTIC (Intent Drift)</w:t>
            </w:r>
          </w:p>
        </w:tc>
        <w:tc>
          <w:tcPr>
            <w:tcW w:type="dxa" w:w="38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Semantic Analysis</w:t>
            </w:r>
          </w:p>
        </w:tc>
      </w:tr>
      <w:tr>
        <w:tc>
          <w:tcPr>
            <w:tcW w:type="dxa" w:w="2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V10.2</w:t>
            </w:r>
          </w:p>
        </w:tc>
        <w:tc>
          <w:tcPr>
            <w:tcW w:type="dxa" w:w="3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BUILD_CHECK (Compilation)</w:t>
            </w:r>
          </w:p>
        </w:tc>
        <w:tc>
          <w:tcPr>
            <w:tcW w:type="dxa" w:w="38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Type Theory Validation</w:t>
            </w:r>
          </w:p>
        </w:tc>
      </w:tr>
      <w:tr>
        <w:tc>
          <w:tcPr>
            <w:tcW w:type="dxa" w:w="2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V10.3</w:t>
            </w:r>
          </w:p>
        </w:tc>
        <w:tc>
          <w:tcPr>
            <w:tcW w:type="dxa" w:w="3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TEST_GATE (Behavioral)</w:t>
            </w:r>
          </w:p>
        </w:tc>
        <w:tc>
          <w:tcPr>
            <w:tcW w:type="dxa" w:w="38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Property-Based Testing</w:t>
            </w:r>
          </w:p>
        </w:tc>
      </w:tr>
    </w:tbl>
    <w:p>
      <w:pPr>
        <w:spacing w:after="200"/>
      </w:pPr>
    </w:p>
    <w:p>
      <w:pPr>
        <w:pStyle w:val="Heading2"/>
        <w:spacing w:before="300" w:after="160"/>
      </w:pPr>
      <w:r>
        <w:rPr>
          <w:rFonts w:ascii="Arial" w:cs="Arial" w:eastAsia="Arial" w:hAnsi="Arial"/>
          <w:b/>
          <w:bCs/>
          <w:color w:val="1A365D"/>
          <w:sz w:val="26"/>
          <w:szCs w:val="26"/>
        </w:rPr>
        <w:t xml:space="preserve">3.2 NeuroForge and DataForge (Intelligence vs. Memory)</w:t>
      </w:r>
    </w:p>
    <w:p>
      <w:pPr>
        <w:spacing w:after="200" w:line="276"/>
        <w:jc w:val="both"/>
      </w:pPr>
      <w:r>
        <w:rPr>
          <w:rFonts w:ascii="Times New Roman" w:cs="Times New Roman" w:eastAsia="Times New Roman" w:hAnsi="Times New Roman"/>
          <w:color w:val="2D3748"/>
          <w:sz w:val="24"/>
          <w:szCs w:val="24"/>
        </w:rPr>
        <w:t xml:space="preserve">By separating the Inference Layer (NeuroForge) from the Immutable Memory Layer (DataForge), Forge ensures that even if a model is updated or deprecated, the reasoning and context used for historical decisions remain retrievable and searchable via vector-indexed audit trails.</w:t>
      </w:r>
    </w:p>
    <w:p>
      <w:pPr>
        <w:spacing w:after="200" w:line="276"/>
        <w:jc w:val="both"/>
      </w:pPr>
      <w:r>
        <w:rPr>
          <w:rFonts w:ascii="Times New Roman" w:cs="Times New Roman" w:eastAsia="Times New Roman" w:hAnsi="Times New Roman"/>
          <w:color w:val="2D3748"/>
          <w:sz w:val="24"/>
          <w:szCs w:val="24"/>
        </w:rPr>
        <w:t xml:space="preserve">This separation addresses a critical concern in AI research: the problem of model churn erasing institutional context.</w:t>
      </w:r>
    </w:p>
    <w:p>
      <w:r>
        <w:br w:type="page"/>
      </w:r>
    </w:p>
    <w:p>
      <w:pPr>
        <w:pStyle w:val="Heading1"/>
        <w:spacing w:before="400" w:after="200"/>
      </w:pPr>
      <w:r>
        <w:rPr>
          <w:rFonts w:ascii="Arial" w:cs="Arial" w:eastAsia="Arial" w:hAnsi="Arial"/>
          <w:b/>
          <w:bCs/>
          <w:color w:val="1A365D"/>
          <w:sz w:val="32"/>
          <w:szCs w:val="32"/>
        </w:rPr>
        <w:t xml:space="preserve">IV. Advanced Governance: Decision Replay and Time-Travel</w:t>
      </w:r>
    </w:p>
    <w:p>
      <w:pPr>
        <w:spacing w:after="200" w:line="276"/>
        <w:jc w:val="both"/>
      </w:pPr>
      <w:r>
        <w:rPr>
          <w:rFonts w:ascii="Times New Roman" w:cs="Times New Roman" w:eastAsia="Times New Roman" w:hAnsi="Times New Roman"/>
          <w:color w:val="2D3748"/>
          <w:sz w:val="24"/>
          <w:szCs w:val="24"/>
        </w:rPr>
        <w:t xml:space="preserve">A critical concern in AI research is Concept Drift—where the rules of good code or secure code change after the code is deployed.</w:t>
      </w:r>
    </w:p>
    <w:p>
      <w:pPr>
        <w:pStyle w:val="Heading2"/>
        <w:spacing w:before="300" w:after="160"/>
      </w:pPr>
      <w:r>
        <w:rPr>
          <w:rFonts w:ascii="Arial" w:cs="Arial" w:eastAsia="Arial" w:hAnsi="Arial"/>
          <w:b/>
          <w:bCs/>
          <w:color w:val="1A365D"/>
          <w:sz w:val="26"/>
          <w:szCs w:val="26"/>
        </w:rPr>
        <w:t xml:space="preserve">4.1 Policy-Based Time Travel</w:t>
      </w:r>
    </w:p>
    <w:p>
      <w:pPr>
        <w:spacing w:after="200" w:line="276"/>
        <w:jc w:val="both"/>
      </w:pPr>
      <w:r>
        <w:rPr>
          <w:rFonts w:ascii="Times New Roman" w:cs="Times New Roman" w:eastAsia="Times New Roman" w:hAnsi="Times New Roman"/>
          <w:color w:val="2D3748"/>
          <w:sz w:val="24"/>
          <w:szCs w:val="24"/>
        </w:rPr>
        <w:t xml:space="preserve">Forge allows for Counterfactual Governance Analysis. By taking Governance Snapshots, an organization can replay last year's AI-assisted decisions against today's security policies.</w:t>
      </w:r>
    </w:p>
    <w:p>
      <w:pPr>
        <w:pBdr>
          <w:left w:val="single" w:color="2B6CB0" w:sz="24"/>
        </w:pBdr>
        <w:shd w:fill="F7FAFC" w:val="clear"/>
        <w:spacing w:before="200" w:after="200"/>
        <w:ind w:left="720" w:right="720"/>
      </w:pPr>
      <w:r>
        <w:rPr>
          <w:rFonts w:ascii="Times New Roman" w:cs="Times New Roman" w:eastAsia="Times New Roman" w:hAnsi="Times New Roman"/>
          <w:b/>
          <w:bCs/>
          <w:color w:val="2D3748"/>
          <w:sz w:val="24"/>
          <w:szCs w:val="24"/>
        </w:rPr>
        <w:t xml:space="preserve">Question: </w:t>
      </w:r>
      <w:r>
        <w:rPr>
          <w:rFonts w:ascii="Times New Roman" w:cs="Times New Roman" w:eastAsia="Times New Roman" w:hAnsi="Times New Roman"/>
          <w:i/>
          <w:iCs/>
          <w:color w:val="2D3748"/>
          <w:sz w:val="24"/>
          <w:szCs w:val="24"/>
        </w:rPr>
        <w:t xml:space="preserve">Would the AI suggestions we accepted in 2025 pass our 2026 No-Zero-Day policy?</w:t>
      </w:r>
    </w:p>
    <w:p>
      <w:pPr>
        <w:spacing w:after="120"/>
        <w:ind w:left="720"/>
      </w:pPr>
      <w:r>
        <w:rPr>
          <w:rFonts w:ascii="Times New Roman" w:cs="Times New Roman" w:eastAsia="Times New Roman" w:hAnsi="Times New Roman"/>
          <w:b/>
          <w:bCs/>
          <w:color w:val="2D3748"/>
          <w:sz w:val="24"/>
          <w:szCs w:val="24"/>
        </w:rPr>
        <w:t xml:space="preserve">Impact: </w:t>
      </w:r>
      <w:r>
        <w:rPr>
          <w:rFonts w:ascii="Times New Roman" w:cs="Times New Roman" w:eastAsia="Times New Roman" w:hAnsi="Times New Roman"/>
          <w:color w:val="2D3748"/>
          <w:sz w:val="24"/>
          <w:szCs w:val="24"/>
        </w:rPr>
        <w:t xml:space="preserve">This transforms static audits into dynamic, continuous risk assessments.</w:t>
      </w:r>
    </w:p>
    <w:p>
      <w:pPr>
        <w:pStyle w:val="Heading2"/>
        <w:spacing w:before="300" w:after="160"/>
      </w:pPr>
      <w:r>
        <w:rPr>
          <w:rFonts w:ascii="Arial" w:cs="Arial" w:eastAsia="Arial" w:hAnsi="Arial"/>
          <w:b/>
          <w:bCs/>
          <w:color w:val="1A365D"/>
          <w:sz w:val="26"/>
          <w:szCs w:val="26"/>
        </w:rPr>
        <w:t xml:space="preserve">4.2 Decision Rationale Objects</w:t>
      </w:r>
    </w:p>
    <w:p>
      <w:pPr>
        <w:spacing w:after="200" w:line="276"/>
        <w:jc w:val="both"/>
      </w:pPr>
      <w:r>
        <w:rPr>
          <w:rFonts w:ascii="Times New Roman" w:cs="Times New Roman" w:eastAsia="Times New Roman" w:hAnsi="Times New Roman"/>
          <w:color w:val="2D3748"/>
          <w:sz w:val="24"/>
          <w:szCs w:val="24"/>
        </w:rPr>
        <w:t xml:space="preserve">Beyond recording what happened, Forge captures why decisions were made. The DecisionRationale.v1 schema preserves:</w:t>
      </w:r>
    </w:p>
    <w:p>
      <w:pPr>
        <w:spacing w:after="100"/>
        <w:ind w:left="720" w:hanging="360"/>
      </w:pPr>
      <w:r>
        <w:rPr>
          <w:rFonts w:ascii="Times New Roman" w:cs="Times New Roman" w:eastAsia="Times New Roman" w:hAnsi="Times New Roman"/>
          <w:color w:val="2D3748"/>
          <w:sz w:val="24"/>
          <w:szCs w:val="24"/>
        </w:rPr>
        <w:t xml:space="preserve">• </w:t>
      </w:r>
      <w:r>
        <w:rPr>
          <w:rFonts w:ascii="Times New Roman" w:cs="Times New Roman" w:eastAsia="Times New Roman" w:hAnsi="Times New Roman"/>
          <w:color w:val="2D3748"/>
          <w:sz w:val="24"/>
          <w:szCs w:val="24"/>
        </w:rPr>
        <w:t xml:space="preserve">Alternatives considered and reasons for rejection</w:t>
      </w:r>
    </w:p>
    <w:p>
      <w:pPr>
        <w:spacing w:after="100"/>
        <w:ind w:left="720" w:hanging="360"/>
      </w:pPr>
      <w:r>
        <w:rPr>
          <w:rFonts w:ascii="Times New Roman" w:cs="Times New Roman" w:eastAsia="Times New Roman" w:hAnsi="Times New Roman"/>
          <w:color w:val="2D3748"/>
          <w:sz w:val="24"/>
          <w:szCs w:val="24"/>
        </w:rPr>
        <w:t xml:space="preserve">• </w:t>
      </w:r>
      <w:r>
        <w:rPr>
          <w:rFonts w:ascii="Times New Roman" w:cs="Times New Roman" w:eastAsia="Times New Roman" w:hAnsi="Times New Roman"/>
          <w:color w:val="2D3748"/>
          <w:sz w:val="24"/>
          <w:szCs w:val="24"/>
        </w:rPr>
        <w:t xml:space="preserve">Risks acknowledged and mitigations planned</w:t>
      </w:r>
    </w:p>
    <w:p>
      <w:pPr>
        <w:spacing w:after="100"/>
        <w:ind w:left="720" w:hanging="360"/>
      </w:pPr>
      <w:r>
        <w:rPr>
          <w:rFonts w:ascii="Times New Roman" w:cs="Times New Roman" w:eastAsia="Times New Roman" w:hAnsi="Times New Roman"/>
          <w:color w:val="2D3748"/>
          <w:sz w:val="24"/>
          <w:szCs w:val="24"/>
        </w:rPr>
        <w:t xml:space="preserve">• </w:t>
      </w:r>
      <w:r>
        <w:rPr>
          <w:rFonts w:ascii="Times New Roman" w:cs="Times New Roman" w:eastAsia="Times New Roman" w:hAnsi="Times New Roman"/>
          <w:color w:val="2D3748"/>
          <w:sz w:val="24"/>
          <w:szCs w:val="24"/>
        </w:rPr>
        <w:t xml:space="preserve">Human reasoning summary with confidence level</w:t>
      </w:r>
    </w:p>
    <w:p>
      <w:pPr>
        <w:spacing w:after="100"/>
        <w:ind w:left="720" w:hanging="360"/>
      </w:pPr>
      <w:r>
        <w:rPr>
          <w:rFonts w:ascii="Times New Roman" w:cs="Times New Roman" w:eastAsia="Times New Roman" w:hAnsi="Times New Roman"/>
          <w:color w:val="2D3748"/>
          <w:sz w:val="24"/>
          <w:szCs w:val="24"/>
        </w:rPr>
        <w:t xml:space="preserve">• </w:t>
      </w:r>
      <w:r>
        <w:rPr>
          <w:rFonts w:ascii="Times New Roman" w:cs="Times New Roman" w:eastAsia="Times New Roman" w:hAnsi="Times New Roman"/>
          <w:color w:val="2D3748"/>
          <w:sz w:val="24"/>
          <w:szCs w:val="24"/>
        </w:rPr>
        <w:t xml:space="preserve">AI models consulted during the decision process</w:t>
      </w:r>
    </w:p>
    <w:p>
      <w:pPr>
        <w:spacing w:after="200" w:line="276"/>
        <w:jc w:val="both"/>
      </w:pPr>
      <w:r>
        <w:rPr>
          <w:rFonts w:ascii="Times New Roman" w:cs="Times New Roman" w:eastAsia="Times New Roman" w:hAnsi="Times New Roman"/>
          <w:color w:val="2D3748"/>
          <w:sz w:val="24"/>
          <w:szCs w:val="24"/>
        </w:rPr>
        <w:t xml:space="preserve">This creates what we term Institutional Memory Infrastructure—knowledge that survives personnel changes and time.</w:t>
      </w:r>
    </w:p>
    <w:p>
      <w:r>
        <w:br w:type="page"/>
      </w:r>
    </w:p>
    <w:p>
      <w:pPr>
        <w:pStyle w:val="Heading1"/>
        <w:spacing w:before="400" w:after="200"/>
      </w:pPr>
      <w:r>
        <w:rPr>
          <w:rFonts w:ascii="Arial" w:cs="Arial" w:eastAsia="Arial" w:hAnsi="Arial"/>
          <w:b/>
          <w:bCs/>
          <w:color w:val="1A365D"/>
          <w:sz w:val="32"/>
          <w:szCs w:val="32"/>
        </w:rPr>
        <w:t xml:space="preserve">V. Metrics: The Governability Score</w:t>
      </w:r>
    </w:p>
    <w:p>
      <w:pPr>
        <w:spacing w:after="200" w:line="276"/>
        <w:jc w:val="both"/>
      </w:pPr>
      <w:r>
        <w:rPr>
          <w:rFonts w:ascii="Times New Roman" w:cs="Times New Roman" w:eastAsia="Times New Roman" w:hAnsi="Times New Roman"/>
          <w:color w:val="2D3748"/>
          <w:sz w:val="24"/>
          <w:szCs w:val="24"/>
        </w:rPr>
        <w:t xml:space="preserve">Software engineering has long struggled with measuring Technical Debt. Forge introduces the Governability Score, a metric for Algorithmic Accountability.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2800"/>
        <w:gridCol w:w="3000"/>
        <w:gridCol w:w="3560"/>
      </w:tblGrid>
      <w:tr>
        <w:tc>
          <w:tcPr>
            <w:tcW w:type="dxa" w:w="2800"/>
            <w:tcBorders>
              <w:top w:val="single" w:color="CCCCCC" w:sz="1"/>
              <w:left w:val="single" w:color="CCCCCC" w:sz="1"/>
              <w:bottom w:val="single" w:color="CCCCCC" w:sz="1"/>
              <w:right w:val="single" w:color="CCCCCC" w:sz="1"/>
            </w:tcBorders>
            <w:shd w:fill="1A365D" w:val="clear"/>
            <w:tcMar>
              <w:top w:type="dxa" w:w="80"/>
              <w:left w:type="dxa" w:w="100"/>
              <w:bottom w:type="dxa" w:w="80"/>
              <w:right w:type="dxa" w:w="100"/>
            </w:tcMar>
          </w:tcPr>
          <w:p>
            <w:r>
              <w:rPr>
                <w:rFonts w:ascii="Arial" w:cs="Arial" w:eastAsia="Arial" w:hAnsi="Arial"/>
                <w:b/>
                <w:bCs/>
                <w:color w:val="FFFFFF"/>
                <w:sz w:val="20"/>
                <w:szCs w:val="20"/>
              </w:rPr>
              <w:t xml:space="preserve">Metric Component</w:t>
            </w:r>
          </w:p>
        </w:tc>
        <w:tc>
          <w:tcPr>
            <w:tcW w:type="dxa" w:w="3000"/>
            <w:tcBorders>
              <w:top w:val="single" w:color="CCCCCC" w:sz="1"/>
              <w:left w:val="single" w:color="CCCCCC" w:sz="1"/>
              <w:bottom w:val="single" w:color="CCCCCC" w:sz="1"/>
              <w:right w:val="single" w:color="CCCCCC" w:sz="1"/>
            </w:tcBorders>
            <w:shd w:fill="1A365D" w:val="clear"/>
            <w:tcMar>
              <w:top w:type="dxa" w:w="80"/>
              <w:left w:type="dxa" w:w="100"/>
              <w:bottom w:type="dxa" w:w="80"/>
              <w:right w:type="dxa" w:w="100"/>
            </w:tcMar>
          </w:tcPr>
          <w:p>
            <w:r>
              <w:rPr>
                <w:rFonts w:ascii="Arial" w:cs="Arial" w:eastAsia="Arial" w:hAnsi="Arial"/>
                <w:b/>
                <w:bCs/>
                <w:color w:val="FFFFFF"/>
                <w:sz w:val="20"/>
                <w:szCs w:val="20"/>
              </w:rPr>
              <w:t xml:space="preserve">Academic Alignment</w:t>
            </w:r>
          </w:p>
        </w:tc>
        <w:tc>
          <w:tcPr>
            <w:tcW w:type="dxa" w:w="3560"/>
            <w:tcBorders>
              <w:top w:val="single" w:color="CCCCCC" w:sz="1"/>
              <w:left w:val="single" w:color="CCCCCC" w:sz="1"/>
              <w:bottom w:val="single" w:color="CCCCCC" w:sz="1"/>
              <w:right w:val="single" w:color="CCCCCC" w:sz="1"/>
            </w:tcBorders>
            <w:shd w:fill="1A365D" w:val="clear"/>
            <w:tcMar>
              <w:top w:type="dxa" w:w="80"/>
              <w:left w:type="dxa" w:w="100"/>
              <w:bottom w:type="dxa" w:w="80"/>
              <w:right w:type="dxa" w:w="100"/>
            </w:tcMar>
          </w:tcPr>
          <w:p>
            <w:r>
              <w:rPr>
                <w:rFonts w:ascii="Arial" w:cs="Arial" w:eastAsia="Arial" w:hAnsi="Arial"/>
                <w:b/>
                <w:bCs/>
                <w:color w:val="FFFFFF"/>
                <w:sz w:val="20"/>
                <w:szCs w:val="20"/>
              </w:rPr>
              <w:t xml:space="preserve">Business Value</w:t>
            </w:r>
          </w:p>
        </w:tc>
      </w:tr>
      <w:tr>
        <w:tc>
          <w:tcPr>
            <w:tcW w:type="dxa" w:w="2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Trust Tier (0-4)</w:t>
            </w:r>
          </w:p>
        </w:tc>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NIST AI RMF Levels</w:t>
            </w:r>
          </w:p>
        </w:tc>
        <w:tc>
          <w:tcPr>
            <w:tcW w:type="dxa" w:w="35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Quantifies organizational risk appetite</w:t>
            </w:r>
          </w:p>
        </w:tc>
      </w:tr>
      <w:tr>
        <w:tc>
          <w:tcPr>
            <w:tcW w:type="dxa" w:w="2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Verification Velocity</w:t>
            </w:r>
          </w:p>
        </w:tc>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Formal Methods</w:t>
            </w:r>
          </w:p>
        </w:tc>
        <w:tc>
          <w:tcPr>
            <w:tcW w:type="dxa" w:w="35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Measures gap between synthesis and proof</w:t>
            </w:r>
          </w:p>
        </w:tc>
      </w:tr>
      <w:tr>
        <w:tc>
          <w:tcPr>
            <w:tcW w:type="dxa" w:w="2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Evidence Chain Integrity</w:t>
            </w:r>
          </w:p>
        </w:tc>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Zero-Knowledge Proofs</w:t>
            </w:r>
          </w:p>
        </w:tc>
        <w:tc>
          <w:tcPr>
            <w:tcW w:type="dxa" w:w="35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Ensures audit trail is untampered</w:t>
            </w:r>
          </w:p>
        </w:tc>
      </w:tr>
      <w:tr>
        <w:tc>
          <w:tcPr>
            <w:tcW w:type="dxa" w:w="2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Governance Friction Index</w:t>
            </w:r>
          </w:p>
        </w:tc>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Process Efficiency</w:t>
            </w:r>
          </w:p>
        </w:tc>
        <w:tc>
          <w:tcPr>
            <w:tcW w:type="dxa" w:w="35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Identifies bottlenecks in approval workflows</w:t>
            </w:r>
          </w:p>
        </w:tc>
      </w:tr>
      <w:tr>
        <w:tc>
          <w:tcPr>
            <w:tcW w:type="dxa" w:w="28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Trust Debt Velocity</w:t>
            </w:r>
          </w:p>
        </w:tc>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Technical Debt Theory</w:t>
            </w:r>
          </w:p>
        </w:tc>
        <w:tc>
          <w:tcPr>
            <w:tcW w:type="dxa" w:w="35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Times New Roman" w:cs="Times New Roman" w:eastAsia="Times New Roman" w:hAnsi="Times New Roman"/>
                <w:color w:val="2D3748"/>
                <w:sz w:val="20"/>
                <w:szCs w:val="20"/>
              </w:rPr>
              <w:t xml:space="preserve">Tracks accumulation rate of governance gaps</w:t>
            </w:r>
          </w:p>
        </w:tc>
      </w:tr>
    </w:tbl>
    <w:p>
      <w:pPr>
        <w:spacing w:after="200"/>
      </w:pPr>
    </w:p>
    <w:p>
      <w:pPr>
        <w:pStyle w:val="Heading2"/>
        <w:spacing w:before="300" w:after="160"/>
      </w:pPr>
      <w:r>
        <w:rPr>
          <w:rFonts w:ascii="Arial" w:cs="Arial" w:eastAsia="Arial" w:hAnsi="Arial"/>
          <w:b/>
          <w:bCs/>
          <w:color w:val="1A365D"/>
          <w:sz w:val="26"/>
          <w:szCs w:val="26"/>
        </w:rPr>
        <w:t xml:space="preserve">5.1 Trust Debt as Business Intelligence</w:t>
      </w:r>
    </w:p>
    <w:p>
      <w:pPr>
        <w:spacing w:after="200" w:line="276"/>
        <w:jc w:val="both"/>
      </w:pPr>
      <w:r>
        <w:rPr>
          <w:rFonts w:ascii="Times New Roman" w:cs="Times New Roman" w:eastAsia="Times New Roman" w:hAnsi="Times New Roman"/>
          <w:color w:val="2D3748"/>
          <w:sz w:val="24"/>
          <w:szCs w:val="24"/>
        </w:rPr>
        <w:t xml:space="preserve">Trust Debt—the accumulation of governance gaps from unverified AI invocations—transforms from a technical warning to a strategic business metric. Organizations can now answer:</w:t>
      </w:r>
    </w:p>
    <w:p>
      <w:pPr>
        <w:spacing w:after="100"/>
        <w:ind w:left="720" w:hanging="360"/>
      </w:pPr>
      <w:r>
        <w:rPr>
          <w:rFonts w:ascii="Times New Roman" w:cs="Times New Roman" w:eastAsia="Times New Roman" w:hAnsi="Times New Roman"/>
          <w:color w:val="2D3748"/>
          <w:sz w:val="24"/>
          <w:szCs w:val="24"/>
        </w:rPr>
        <w:t xml:space="preserve">• </w:t>
      </w:r>
      <w:r>
        <w:rPr>
          <w:rFonts w:ascii="Times New Roman" w:cs="Times New Roman" w:eastAsia="Times New Roman" w:hAnsi="Times New Roman"/>
          <w:color w:val="2D3748"/>
          <w:sz w:val="24"/>
          <w:szCs w:val="24"/>
        </w:rPr>
        <w:t xml:space="preserve">Are we becoming more governable or just busier?</w:t>
      </w:r>
    </w:p>
    <w:p>
      <w:pPr>
        <w:spacing w:after="100"/>
        <w:ind w:left="720" w:hanging="360"/>
      </w:pPr>
      <w:r>
        <w:rPr>
          <w:rFonts w:ascii="Times New Roman" w:cs="Times New Roman" w:eastAsia="Times New Roman" w:hAnsi="Times New Roman"/>
          <w:color w:val="2D3748"/>
          <w:sz w:val="24"/>
          <w:szCs w:val="24"/>
        </w:rPr>
        <w:t xml:space="preserve">• </w:t>
      </w:r>
      <w:r>
        <w:rPr>
          <w:rFonts w:ascii="Times New Roman" w:cs="Times New Roman" w:eastAsia="Times New Roman" w:hAnsi="Times New Roman"/>
          <w:color w:val="2D3748"/>
          <w:sz w:val="24"/>
          <w:szCs w:val="24"/>
        </w:rPr>
        <w:t xml:space="preserve">What is the real cost of emergency overrides?</w:t>
      </w:r>
    </w:p>
    <w:p>
      <w:pPr>
        <w:spacing w:after="100"/>
        <w:ind w:left="720" w:hanging="360"/>
      </w:pPr>
      <w:r>
        <w:rPr>
          <w:rFonts w:ascii="Times New Roman" w:cs="Times New Roman" w:eastAsia="Times New Roman" w:hAnsi="Times New Roman"/>
          <w:color w:val="2D3748"/>
          <w:sz w:val="24"/>
          <w:szCs w:val="24"/>
        </w:rPr>
        <w:t xml:space="preserve">• </w:t>
      </w:r>
      <w:r>
        <w:rPr>
          <w:rFonts w:ascii="Times New Roman" w:cs="Times New Roman" w:eastAsia="Times New Roman" w:hAnsi="Times New Roman"/>
          <w:color w:val="2D3748"/>
          <w:sz w:val="24"/>
          <w:szCs w:val="24"/>
        </w:rPr>
        <w:t xml:space="preserve">How does our governance posture compare quarter-over-quarter?</w:t>
      </w:r>
    </w:p>
    <w:p>
      <w:r>
        <w:br w:type="page"/>
      </w:r>
    </w:p>
    <w:p>
      <w:pPr>
        <w:pStyle w:val="Heading1"/>
        <w:spacing w:before="400" w:after="200"/>
      </w:pPr>
      <w:r>
        <w:rPr>
          <w:rFonts w:ascii="Arial" w:cs="Arial" w:eastAsia="Arial" w:hAnsi="Arial"/>
          <w:b/>
          <w:bCs/>
          <w:color w:val="1A365D"/>
          <w:sz w:val="32"/>
          <w:szCs w:val="32"/>
        </w:rPr>
        <w:t xml:space="preserve">VI. Conclusion: From Tools to Infrastructure</w:t>
      </w:r>
    </w:p>
    <w:p>
      <w:pPr>
        <w:spacing w:after="200" w:line="276"/>
        <w:jc w:val="both"/>
      </w:pPr>
      <w:r>
        <w:rPr>
          <w:rFonts w:ascii="Times New Roman" w:cs="Times New Roman" w:eastAsia="Times New Roman" w:hAnsi="Times New Roman"/>
          <w:color w:val="2D3748"/>
          <w:sz w:val="24"/>
          <w:szCs w:val="24"/>
        </w:rPr>
        <w:t xml:space="preserve">The transition from AI Tools to AI Infrastructure represents a paradigm shift from probabilistic development to deterministic governance.</w:t>
      </w:r>
    </w:p>
    <w:p>
      <w:pPr>
        <w:spacing w:after="200" w:line="276"/>
        <w:jc w:val="both"/>
      </w:pPr>
      <w:r>
        <w:rPr>
          <w:rFonts w:ascii="Times New Roman" w:cs="Times New Roman" w:eastAsia="Times New Roman" w:hAnsi="Times New Roman"/>
          <w:color w:val="2D3748"/>
          <w:sz w:val="24"/>
          <w:szCs w:val="24"/>
        </w:rPr>
        <w:t xml:space="preserve">Current AI engineering papers emphasize that the bottleneck for AI adoption is not capability, but trust. The Forge Architecture provides the Conscience of the Machine—not by limiting the AI's creativity, but by ensuring that every spark of creativity is captured, justified, and held accountable to human authority.</w:t>
      </w:r>
    </w:p>
    <w:p>
      <w:pPr>
        <w:pBdr>
          <w:top w:val="single" w:color="E2E8F0" w:sz="1"/>
          <w:bottom w:val="single" w:color="E2E8F0" w:sz="1"/>
        </w:pBdr>
        <w:spacing w:before="300" w:after="300"/>
        <w:jc w:val="center"/>
      </w:pPr>
      <w:r>
        <w:rPr>
          <w:rFonts w:ascii="Times New Roman" w:cs="Times New Roman" w:eastAsia="Times New Roman" w:hAnsi="Times New Roman"/>
          <w:i/>
          <w:iCs/>
          <w:color w:val="2D3748"/>
          <w:sz w:val="26"/>
          <w:szCs w:val="26"/>
        </w:rPr>
        <w:t xml:space="preserve">Forge does not just help you build software; it helps you build </w:t>
      </w:r>
      <w:r>
        <w:rPr>
          <w:rFonts w:ascii="Times New Roman" w:cs="Times New Roman" w:eastAsia="Times New Roman" w:hAnsi="Times New Roman"/>
          <w:b/>
          <w:bCs/>
          <w:i/>
          <w:iCs/>
          <w:color w:val="1A365D"/>
          <w:sz w:val="26"/>
          <w:szCs w:val="26"/>
        </w:rPr>
        <w:t xml:space="preserve">Defensible Engineering Organizations</w:t>
      </w:r>
      <w:r>
        <w:rPr>
          <w:rFonts w:ascii="Times New Roman" w:cs="Times New Roman" w:eastAsia="Times New Roman" w:hAnsi="Times New Roman"/>
          <w:i/>
          <w:iCs/>
          <w:color w:val="2D3748"/>
          <w:sz w:val="26"/>
          <w:szCs w:val="26"/>
        </w:rPr>
        <w:t xml:space="preserve">.</w:t>
      </w:r>
    </w:p>
    <w:p>
      <w:r>
        <w:br w:type="page"/>
      </w:r>
    </w:p>
    <w:p>
      <w:pPr>
        <w:pStyle w:val="Heading1"/>
        <w:spacing w:before="400" w:after="200"/>
      </w:pPr>
      <w:r>
        <w:rPr>
          <w:rFonts w:ascii="Arial" w:cs="Arial" w:eastAsia="Arial" w:hAnsi="Arial"/>
          <w:b/>
          <w:bCs/>
          <w:color w:val="1A365D"/>
          <w:sz w:val="32"/>
          <w:szCs w:val="32"/>
        </w:rPr>
        <w:t xml:space="preserve">References</w:t>
      </w:r>
    </w:p>
    <w:p>
      <w:pPr>
        <w:spacing w:after="160"/>
        <w:ind w:left="720" w:hanging="720"/>
      </w:pPr>
      <w:r>
        <w:rPr>
          <w:rFonts w:ascii="Times New Roman" w:cs="Times New Roman" w:eastAsia="Times New Roman" w:hAnsi="Times New Roman"/>
          <w:color w:val="2D3748"/>
          <w:sz w:val="22"/>
          <w:szCs w:val="22"/>
        </w:rPr>
        <w:t xml:space="preserve">Askell, A., et al. (2021). A General Language Assistant as a Laboratory for Alignment. Anthropic.</w:t>
      </w:r>
    </w:p>
    <w:p>
      <w:pPr>
        <w:spacing w:after="160"/>
        <w:ind w:left="720" w:hanging="720"/>
      </w:pPr>
      <w:r>
        <w:rPr>
          <w:rFonts w:ascii="Times New Roman" w:cs="Times New Roman" w:eastAsia="Times New Roman" w:hAnsi="Times New Roman"/>
          <w:color w:val="2D3748"/>
          <w:sz w:val="22"/>
          <w:szCs w:val="22"/>
        </w:rPr>
        <w:t xml:space="preserve">Bender, E. M., Gebru, T., McMillan-Major, A., &amp; Shmitchell, S. (2021). On the Dangers of Stochastic Parrots: Can Language Models Be Too Big? FAccT '21.</w:t>
      </w:r>
    </w:p>
    <w:p>
      <w:pPr>
        <w:spacing w:after="160"/>
        <w:ind w:left="720" w:hanging="720"/>
      </w:pPr>
      <w:r>
        <w:rPr>
          <w:rFonts w:ascii="Times New Roman" w:cs="Times New Roman" w:eastAsia="Times New Roman" w:hAnsi="Times New Roman"/>
          <w:color w:val="2D3748"/>
          <w:sz w:val="22"/>
          <w:szCs w:val="22"/>
        </w:rPr>
        <w:t xml:space="preserve">Bommasani, R., et al. (2022). On the Opportunities and Risks of Foundation Models. Stanford HAI.</w:t>
      </w:r>
    </w:p>
    <w:p>
      <w:pPr>
        <w:spacing w:after="160"/>
        <w:ind w:left="720" w:hanging="720"/>
      </w:pPr>
      <w:r>
        <w:rPr>
          <w:rFonts w:ascii="Times New Roman" w:cs="Times New Roman" w:eastAsia="Times New Roman" w:hAnsi="Times New Roman"/>
          <w:color w:val="2D3748"/>
          <w:sz w:val="22"/>
          <w:szCs w:val="22"/>
        </w:rPr>
        <w:t xml:space="preserve">Hadfield-Menell, D., Dragan, A., Abbeel, P., &amp; Russell, S. (2017). The Off-Switch Game. IJCAI.</w:t>
      </w:r>
    </w:p>
    <w:p>
      <w:pPr>
        <w:spacing w:after="160"/>
        <w:ind w:left="720" w:hanging="720"/>
      </w:pPr>
      <w:r>
        <w:rPr>
          <w:rFonts w:ascii="Times New Roman" w:cs="Times New Roman" w:eastAsia="Times New Roman" w:hAnsi="Times New Roman"/>
          <w:color w:val="2D3748"/>
          <w:sz w:val="22"/>
          <w:szCs w:val="22"/>
        </w:rPr>
        <w:t xml:space="preserve">NIST (2023). AI Risk Management Framework 1.0. National Institute of Standards and Technology.</w:t>
      </w:r>
    </w:p>
    <w:p>
      <w:pPr>
        <w:spacing w:after="160"/>
        <w:ind w:left="720" w:hanging="720"/>
      </w:pPr>
      <w:r>
        <w:rPr>
          <w:rFonts w:ascii="Times New Roman" w:cs="Times New Roman" w:eastAsia="Times New Roman" w:hAnsi="Times New Roman"/>
          <w:color w:val="2D3748"/>
          <w:sz w:val="22"/>
          <w:szCs w:val="22"/>
        </w:rPr>
        <w:t xml:space="preserve">Rudin, C. (2019). Stop Explaining Black Box Machine Learning Models for High Stakes Decisions and Use Interpretable Models Instead. Nature Machine Intelligence.</w:t>
      </w:r>
    </w:p>
    <w:p>
      <w:pPr>
        <w:spacing w:after="400"/>
      </w:pPr>
    </w:p>
    <w:p>
      <w:pPr>
        <w:pBdr>
          <w:top w:val="single" w:color="E2E8F0" w:sz="1"/>
        </w:pBdr>
        <w:spacing w:before="400" w:after="200"/>
      </w:pPr>
      <w:r>
        <w:rPr>
          <w:rFonts w:ascii="Arial" w:cs="Arial" w:eastAsia="Arial" w:hAnsi="Arial"/>
          <w:b/>
          <w:bCs/>
          <w:color w:val="1A365D"/>
          <w:sz w:val="24"/>
          <w:szCs w:val="24"/>
        </w:rPr>
        <w:t xml:space="preserve">About the Author</w:t>
      </w:r>
    </w:p>
    <w:p>
      <w:pPr>
        <w:spacing w:after="200" w:line="276"/>
        <w:jc w:val="both"/>
      </w:pPr>
      <w:r>
        <w:rPr>
          <w:rFonts w:ascii="Times New Roman" w:cs="Times New Roman" w:eastAsia="Times New Roman" w:hAnsi="Times New Roman"/>
          <w:color w:val="2D3748"/>
          <w:sz w:val="24"/>
          <w:szCs w:val="24"/>
        </w:rPr>
        <w:t xml:space="preserve">Charles Boswell is the founder of Boswell Digital Solutions LLC, focusing on governance-first infrastructure for AI-assisted software development. The Forge ecosystem represents applied research into deterministic accountability for probabilistic AI systems.</w:t>
      </w:r>
    </w:p>
    <w:p>
      <w:pPr>
        <w:spacing w:after="120"/>
      </w:pPr>
    </w:p>
    <w:p>
      <w:pPr>
        <w:spacing w:after="200" w:line="276"/>
        <w:jc w:val="both"/>
      </w:pPr>
      <w:r>
        <w:rPr>
          <w:rFonts w:ascii="Times New Roman" w:cs="Times New Roman" w:eastAsia="Times New Roman" w:hAnsi="Times New Roman"/>
          <w:color w:val="2D3748"/>
          <w:sz w:val="24"/>
          <w:szCs w:val="24"/>
        </w:rPr>
        <w:t xml:space="preserve">Contact: CharlesBoswell@boswelldigitalsolutions.com</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4A5568"/>
        <w:sz w:val="18"/>
        <w:szCs w:val="18"/>
      </w:rPr>
      <w:t xml:space="preserve">Boswell Digital Solutions LLC  •  Page </w:t>
    </w:r>
    <w:r>
      <w:rPr>
        <w:rFonts w:ascii="Arial" w:cs="Arial" w:eastAsia="Arial" w:hAnsi="Arial"/>
        <w:color w:val="4A556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i/>
        <w:iCs/>
        <w:color w:val="4A5568"/>
        <w:sz w:val="18"/>
        <w:szCs w:val="18"/>
      </w:rPr>
      <w:t xml:space="preserve">From AI Assistance to AI Accountability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400" w:after="200"/>
      <w:outlineLvl w:val="0"/>
    </w:pPr>
    <w:rPr>
      <w:rFonts w:ascii="Arial" w:cs="Arial" w:eastAsia="Arial" w:hAnsi="Arial"/>
      <w:b/>
      <w:bCs/>
      <w:color w:val="1A365D"/>
      <w:sz w:val="32"/>
      <w:szCs w:val="32"/>
    </w:rPr>
  </w:style>
  <w:style w:type="paragraph" w:styleId="Heading2">
    <w:name w:val="Heading 2"/>
    <w:basedOn w:val="Normal"/>
    <w:next w:val="Normal"/>
    <w:qFormat/>
    <w:pPr>
      <w:spacing w:before="300" w:after="160"/>
      <w:outlineLvl w:val="1"/>
    </w:pPr>
    <w:rPr>
      <w:rFonts w:ascii="Arial" w:cs="Arial" w:eastAsia="Arial" w:hAnsi="Arial"/>
      <w:b/>
      <w:bCs/>
      <w:color w:val="1A365D"/>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2026-02-03T05:32:48.649Z</dcterms:created>
  <dcterms:modified xsi:type="dcterms:W3CDTF">2026-02-03T05:32:48.650Z</dcterms:modified>
</cp:coreProperties>
</file>

<file path=docProps/custom.xml><?xml version="1.0" encoding="utf-8"?>
<Properties xmlns="http://schemas.openxmlformats.org/officeDocument/2006/custom-properties" xmlns:vt="http://schemas.openxmlformats.org/officeDocument/2006/docPropsVTypes"/>
</file>