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p>
    <w:p>
      <w:pPr>
        <w:spacing w:after="400"/>
        <w:jc w:val="center"/>
      </w:pPr>
      <w:r>
        <w:drawing>
          <wp:inline distT="0" distB="0" distL="0" distR="0">
            <wp:extent cx="1428750" cy="142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1428750"/>
                    </a:xfrm>
                    <a:prstGeom prst="rect">
                      <a:avLst/>
                    </a:prstGeom>
                  </pic:spPr>
                </pic:pic>
              </a:graphicData>
            </a:graphic>
          </wp:inline>
        </w:drawing>
      </w:r>
    </w:p>
    <w:p>
      <w:pPr>
        <w:spacing w:after="200"/>
        <w:jc w:val="center"/>
      </w:pPr>
      <w:r>
        <w:rPr>
          <w:rFonts w:ascii="Arial" w:cs="Arial" w:eastAsia="Arial" w:hAnsi="Arial"/>
          <w:b/>
          <w:bCs/>
          <w:color w:val="1F4E5F"/>
          <w:sz w:val="56"/>
          <w:szCs w:val="56"/>
        </w:rPr>
        <w:t xml:space="preserve">LEOPOLD ECOLOGY STACK</w:t>
      </w:r>
    </w:p>
    <w:p>
      <w:pPr>
        <w:spacing w:after="100"/>
        <w:jc w:val="center"/>
      </w:pPr>
      <w:r>
        <w:rPr>
          <w:rFonts w:ascii="Arial" w:cs="Arial" w:eastAsia="Arial" w:hAnsi="Arial"/>
          <w:color w:val="2D6A4F"/>
          <w:sz w:val="32"/>
          <w:szCs w:val="32"/>
        </w:rPr>
        <w:t xml:space="preserve">Strategic Positioning &amp; Competitive Analysis</w:t>
      </w:r>
    </w:p>
    <w:p>
      <w:pPr>
        <w:spacing w:after="600"/>
        <w:jc w:val="center"/>
      </w:pPr>
      <w:r>
        <w:rPr>
          <w:rFonts w:ascii="Arial" w:cs="Arial" w:eastAsia="Arial" w:hAnsi="Arial"/>
          <w:color w:val="666666"/>
          <w:sz w:val="24"/>
          <w:szCs w:val="24"/>
        </w:rPr>
        <w:t xml:space="preserve">Geospatial Foundation Model Differentiation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1F4E5F" w:sz="12"/>
              <w:left w:val="none" w:color="FFFFFF" w:sz="0"/>
              <w:bottom w:val="none" w:color="FFFFFF" w:sz="0"/>
              <w:right w:val="none" w:color="FFFFFF" w:sz="0"/>
            </w:tcBorders>
          </w:tcPr>
          <w:p/>
        </w:tc>
      </w:tr>
    </w:tbl>
    <w:p>
      <w:pPr>
        <w:spacing w:after="400"/>
      </w:pPr>
    </w:p>
    <w:tbl>
      <w:tblPr>
        <w:tblW w:type="dxa" w:w="6000"/>
        <w:tblBorders>
          <w:top w:val="single" w:color="auto" w:sz="4"/>
          <w:left w:val="single" w:color="auto" w:sz="4"/>
          <w:bottom w:val="single" w:color="auto" w:sz="4"/>
          <w:right w:val="single" w:color="auto" w:sz="4"/>
          <w:insideH w:val="single" w:color="auto" w:sz="4"/>
          <w:insideV w:val="single" w:color="auto" w:sz="4"/>
        </w:tblBorders>
      </w:tblPr>
      <w:tblGrid>
        <w:gridCol w:w="6000"/>
      </w:tblGrid>
      <w:tr>
        <w:tc>
          <w:tcPr>
            <w:tcW w:type="dxa" w:w="6000"/>
            <w:tcBorders>
              <w:top w:val="single" w:color="CCCCCC" w:sz="1"/>
              <w:left w:val="single" w:color="CCCCCC" w:sz="1"/>
              <w:bottom w:val="single" w:color="CCCCCC" w:sz="1"/>
              <w:right w:val="single" w:color="CCCCCC" w:sz="1"/>
            </w:tcBorders>
            <w:shd w:fill="D8F3DC" w:val="clear"/>
            <w:tcMar>
              <w:top w:type="dxa" w:w="200"/>
              <w:left w:type="dxa" w:w="300"/>
              <w:bottom w:type="dxa" w:w="200"/>
              <w:right w:type="dxa" w:w="300"/>
            </w:tcMar>
          </w:tcPr>
          <w:p>
            <w:pPr>
              <w:spacing w:after="100"/>
              <w:jc w:val="center"/>
            </w:pPr>
            <w:r>
              <w:rPr>
                <w:rFonts w:ascii="Arial" w:cs="Arial" w:eastAsia="Arial" w:hAnsi="Arial"/>
                <w:b/>
                <w:bCs/>
                <w:color w:val="1F4E5F"/>
                <w:sz w:val="24"/>
                <w:szCs w:val="24"/>
              </w:rPr>
              <w:t xml:space="preserve">Global Heritage AI Initiative</w:t>
            </w:r>
          </w:p>
          <w:p>
            <w:pPr>
              <w:spacing w:after="100"/>
              <w:jc w:val="center"/>
            </w:pPr>
            <w:r>
              <w:rPr>
                <w:rFonts w:ascii="Arial" w:cs="Arial" w:eastAsia="Arial" w:hAnsi="Arial"/>
                <w:sz w:val="22"/>
                <w:szCs w:val="22"/>
              </w:rPr>
              <w:t xml:space="preserve">February 2026</w:t>
            </w:r>
          </w:p>
          <w:p>
            <w:pPr>
              <w:jc w:val="center"/>
            </w:pPr>
            <w:r>
              <w:rPr>
                <w:rFonts w:ascii="Arial" w:cs="Arial" w:eastAsia="Arial" w:hAnsi="Arial"/>
                <w:i/>
                <w:iCs/>
                <w:color w:val="666666"/>
                <w:sz w:val="20"/>
                <w:szCs w:val="20"/>
              </w:rPr>
              <w:t xml:space="preserve">Version 1.0 — For Grant &amp; Review Contexts</w:t>
            </w:r>
          </w:p>
        </w:tc>
      </w:tr>
    </w:tbl>
    <w:p>
      <w:pPr>
        <w:spacing w:after="800"/>
      </w:pPr>
    </w:p>
    <w:p>
      <w:pPr>
        <w:spacing w:after="200"/>
        <w:jc w:val="center"/>
      </w:pPr>
      <w:r>
        <w:rPr>
          <w:rFonts w:ascii="Arial" w:cs="Arial" w:eastAsia="Arial" w:hAnsi="Arial"/>
          <w:b/>
          <w:bCs/>
          <w:color w:val="2D6A4F"/>
          <w:sz w:val="22"/>
          <w:szCs w:val="22"/>
        </w:rPr>
        <w:t xml:space="preserve">DOCUMENT PURPOSE</w:t>
      </w:r>
    </w:p>
    <w:p>
      <w:pPr>
        <w:spacing w:after="200"/>
        <w:jc w:val="both"/>
      </w:pPr>
      <w:r>
        <w:rPr>
          <w:rFonts w:ascii="Arial" w:cs="Arial" w:eastAsia="Arial" w:hAnsi="Arial"/>
          <w:sz w:val="22"/>
          <w:szCs w:val="22"/>
        </w:rPr>
        <w:t xml:space="preserve">This document positions the Leopold Ecology Stack against existing geospatial foundation models (Prithvi-EO-2.0, SatMAE, TESSERA) and standard benchmarks (GEO-Bench). It provides reviewers with explicit differentiation rationale, complementarity arguments, and honest capability boundaries.</w:t>
      </w:r>
    </w:p>
    <w:p>
      <w:r>
        <w:br w:type="page"/>
      </w:r>
    </w:p>
    <w:p>
      <w:pPr>
        <w:pStyle w:val="Heading1"/>
        <w:spacing w:before="400" w:after="200"/>
      </w:pPr>
      <w:r>
        <w:rPr>
          <w:rFonts w:ascii="Arial" w:cs="Arial" w:eastAsia="Arial" w:hAnsi="Arial"/>
          <w:b/>
          <w:bCs/>
          <w:color w:val="1F4E5F"/>
          <w:sz w:val="36"/>
          <w:szCs w:val="36"/>
        </w:rPr>
        <w:t xml:space="preserve">Executive Summary</w:t>
      </w:r>
    </w:p>
    <w:p>
      <w:pPr>
        <w:spacing w:after="200"/>
      </w:pPr>
      <w:r>
        <w:rPr>
          <w:rFonts w:ascii="Arial" w:cs="Arial" w:eastAsia="Arial" w:hAnsi="Arial"/>
          <w:sz w:val="22"/>
          <w:szCs w:val="22"/>
        </w:rPr>
        <w:t xml:space="preserve">The Leopold Ecology Stack occupies a distinct position in the geospatial AI landscape. While foundation models like Prithvi-EO-2.0 excel at land-cover segmentation and remote sensing tasks, Leopold targets species-level ecological inference with acoustic modality integration and citizen-science-native data contracts.</w:t>
      </w:r>
    </w:p>
    <w:p>
      <w:pPr>
        <w:spacing w:after="200"/>
      </w:pPr>
      <w:r>
        <w:rPr>
          <w:rFonts w:ascii="Arial" w:cs="Arial" w:eastAsia="Arial" w:hAnsi="Arial"/>
          <w:b/>
          <w:bCs/>
          <w:sz w:val="22"/>
          <w:szCs w:val="22"/>
        </w:rPr>
        <w:t xml:space="preserve">Key Differentiation: </w:t>
      </w:r>
      <w:r>
        <w:rPr>
          <w:rFonts w:ascii="Arial" w:cs="Arial" w:eastAsia="Arial" w:hAnsi="Arial"/>
          <w:sz w:val="22"/>
          <w:szCs w:val="22"/>
        </w:rPr>
        <w:t xml:space="preserve">Leopold is not a competitor to existing geospatial foundation models—it is a complementary system designed for a different inference target (ecological events vs. land-cover pixels) using different data sources (citizen-science observations vs. satellite archives).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360"/>
        <w:gridCol w:w="3360"/>
        <w:gridCol w:w="3360"/>
      </w:tblGrid>
      <w:tr>
        <w:tc>
          <w:tcPr>
            <w:tcW w:type="dxa" w:w="3360"/>
            <w:tcBorders>
              <w:top w:val="single" w:color="CCCCCC" w:sz="1"/>
              <w:left w:val="single" w:color="CCCCCC" w:sz="1"/>
              <w:bottom w:val="single" w:color="CCCCCC" w:sz="1"/>
              <w:right w:val="single" w:color="CCCCCC" w:sz="1"/>
            </w:tcBorders>
            <w:shd w:fill="1F4E5F"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Prithvi-EO-2.0</w:t>
            </w:r>
          </w:p>
        </w:tc>
        <w:tc>
          <w:tcPr>
            <w:tcW w:type="dxa" w:w="3360"/>
            <w:tcBorders>
              <w:top w:val="single" w:color="CCCCCC" w:sz="1"/>
              <w:left w:val="single" w:color="CCCCCC" w:sz="1"/>
              <w:bottom w:val="single" w:color="CCCCCC" w:sz="1"/>
              <w:right w:val="single" w:color="CCCCCC" w:sz="1"/>
            </w:tcBorders>
            <w:shd w:fill="2D6A4F"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Leopold</w:t>
            </w:r>
          </w:p>
        </w:tc>
        <w:tc>
          <w:tcPr>
            <w:tcW w:type="dxa" w:w="3360"/>
            <w:tcBorders>
              <w:top w:val="single" w:color="CCCCCC" w:sz="1"/>
              <w:left w:val="single" w:color="CCCCCC" w:sz="1"/>
              <w:bottom w:val="single" w:color="CCCCCC" w:sz="1"/>
              <w:right w:val="single" w:color="CCCCCC" w:sz="1"/>
            </w:tcBorders>
            <w:shd w:fill="1F4E5F"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Complementarity</w:t>
            </w:r>
          </w:p>
        </w:tc>
      </w:tr>
      <w:tr>
        <w:tc>
          <w:tcPr>
            <w:tcW w:type="dxa" w:w="3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Satellite imagery (HLS)</w:t>
            </w:r>
          </w:p>
        </w:tc>
        <w:tc>
          <w:tcPr>
            <w:tcW w:type="dxa" w:w="3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Citizen-science events</w:t>
            </w:r>
          </w:p>
        </w:tc>
        <w:tc>
          <w:tcPr>
            <w:tcW w:type="dxa" w:w="3360"/>
            <w:tcBorders>
              <w:top w:val="single" w:color="CCCCCC" w:sz="1"/>
              <w:left w:val="single" w:color="CCCCCC" w:sz="1"/>
              <w:bottom w:val="single" w:color="CCCCCC" w:sz="1"/>
              <w:right w:val="single" w:color="CCCCCC" w:sz="1"/>
            </w:tcBorders>
            <w:shd w:fill="D8F3DC" w:val="clear"/>
            <w:tcMar>
              <w:top w:type="dxa" w:w="80"/>
              <w:left w:type="dxa" w:w="120"/>
              <w:bottom w:type="dxa" w:w="80"/>
              <w:right w:type="dxa" w:w="120"/>
            </w:tcMar>
          </w:tcPr>
          <w:p>
            <w:r>
              <w:rPr>
                <w:rFonts w:ascii="Arial" w:cs="Arial" w:eastAsia="Arial" w:hAnsi="Arial"/>
                <w:sz w:val="18"/>
                <w:szCs w:val="18"/>
              </w:rPr>
              <w:t xml:space="preserve">Different data sources</w:t>
            </w:r>
          </w:p>
        </w:tc>
      </w:tr>
      <w:tr>
        <w:tc>
          <w:tcPr>
            <w:tcW w:type="dxa" w:w="3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Land-cover segmentation</w:t>
            </w:r>
          </w:p>
        </w:tc>
        <w:tc>
          <w:tcPr>
            <w:tcW w:type="dxa" w:w="3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Species-level inference</w:t>
            </w:r>
          </w:p>
        </w:tc>
        <w:tc>
          <w:tcPr>
            <w:tcW w:type="dxa" w:w="3360"/>
            <w:tcBorders>
              <w:top w:val="single" w:color="CCCCCC" w:sz="1"/>
              <w:left w:val="single" w:color="CCCCCC" w:sz="1"/>
              <w:bottom w:val="single" w:color="CCCCCC" w:sz="1"/>
              <w:right w:val="single" w:color="CCCCCC" w:sz="1"/>
            </w:tcBorders>
            <w:shd w:fill="D8F3DC" w:val="clear"/>
            <w:tcMar>
              <w:top w:type="dxa" w:w="80"/>
              <w:left w:type="dxa" w:w="120"/>
              <w:bottom w:type="dxa" w:w="80"/>
              <w:right w:type="dxa" w:w="120"/>
            </w:tcMar>
          </w:tcPr>
          <w:p>
            <w:r>
              <w:rPr>
                <w:rFonts w:ascii="Arial" w:cs="Arial" w:eastAsia="Arial" w:hAnsi="Arial"/>
                <w:sz w:val="18"/>
                <w:szCs w:val="18"/>
              </w:rPr>
              <w:t xml:space="preserve">Different inference targets</w:t>
            </w:r>
          </w:p>
        </w:tc>
      </w:tr>
      <w:tr>
        <w:tc>
          <w:tcPr>
            <w:tcW w:type="dxa" w:w="3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Visual-only modality</w:t>
            </w:r>
          </w:p>
        </w:tc>
        <w:tc>
          <w:tcPr>
            <w:tcW w:type="dxa" w:w="3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Visual + acoustic + plant</w:t>
            </w:r>
          </w:p>
        </w:tc>
        <w:tc>
          <w:tcPr>
            <w:tcW w:type="dxa" w:w="3360"/>
            <w:tcBorders>
              <w:top w:val="single" w:color="CCCCCC" w:sz="1"/>
              <w:left w:val="single" w:color="CCCCCC" w:sz="1"/>
              <w:bottom w:val="single" w:color="CCCCCC" w:sz="1"/>
              <w:right w:val="single" w:color="CCCCCC" w:sz="1"/>
            </w:tcBorders>
            <w:shd w:fill="D8F3DC" w:val="clear"/>
            <w:tcMar>
              <w:top w:type="dxa" w:w="80"/>
              <w:left w:type="dxa" w:w="120"/>
              <w:bottom w:type="dxa" w:w="80"/>
              <w:right w:type="dxa" w:w="120"/>
            </w:tcMar>
          </w:tcPr>
          <w:p>
            <w:r>
              <w:rPr>
                <w:rFonts w:ascii="Arial" w:cs="Arial" w:eastAsia="Arial" w:hAnsi="Arial"/>
                <w:sz w:val="18"/>
                <w:szCs w:val="18"/>
              </w:rPr>
              <w:t xml:space="preserve">Extended modality coverage</w:t>
            </w:r>
          </w:p>
        </w:tc>
      </w:tr>
      <w:tr>
        <w:tc>
          <w:tcPr>
            <w:tcW w:type="dxa" w:w="3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600M parameters</w:t>
            </w:r>
          </w:p>
        </w:tc>
        <w:tc>
          <w:tcPr>
            <w:tcW w:type="dxa" w:w="3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Domain-focused efficiency</w:t>
            </w:r>
          </w:p>
        </w:tc>
        <w:tc>
          <w:tcPr>
            <w:tcW w:type="dxa" w:w="3360"/>
            <w:tcBorders>
              <w:top w:val="single" w:color="CCCCCC" w:sz="1"/>
              <w:left w:val="single" w:color="CCCCCC" w:sz="1"/>
              <w:bottom w:val="single" w:color="CCCCCC" w:sz="1"/>
              <w:right w:val="single" w:color="CCCCCC" w:sz="1"/>
            </w:tcBorders>
            <w:shd w:fill="D8F3DC" w:val="clear"/>
            <w:tcMar>
              <w:top w:type="dxa" w:w="80"/>
              <w:left w:type="dxa" w:w="120"/>
              <w:bottom w:type="dxa" w:w="80"/>
              <w:right w:type="dxa" w:w="120"/>
            </w:tcMar>
          </w:tcPr>
          <w:p>
            <w:r>
              <w:rPr>
                <w:rFonts w:ascii="Arial" w:cs="Arial" w:eastAsia="Arial" w:hAnsi="Arial"/>
                <w:sz w:val="18"/>
                <w:szCs w:val="18"/>
              </w:rPr>
              <w:t xml:space="preserve">Scale vs. specificity tradeoff</w:t>
            </w:r>
          </w:p>
        </w:tc>
      </w:tr>
    </w:tbl>
    <w:p>
      <w:pPr>
        <w:spacing w:after="300"/>
      </w:pPr>
    </w:p>
    <w:p>
      <w:pPr>
        <w:spacing w:after="200"/>
      </w:pPr>
      <w:r>
        <w:rPr>
          <w:rFonts w:ascii="Arial" w:cs="Arial" w:eastAsia="Arial" w:hAnsi="Arial"/>
          <w:sz w:val="22"/>
          <w:szCs w:val="22"/>
        </w:rPr>
        <w:t xml:space="preserve">This positioning allows Leopold to leverage Prithvi-derived habitat embeddings as upstream context while focusing computational resources on ecological event modeling—a domain where general-purpose GFMs have limited validation.</w:t>
      </w:r>
    </w:p>
    <w:p>
      <w:r>
        <w:br w:type="page"/>
      </w:r>
    </w:p>
    <w:p>
      <w:pPr>
        <w:pStyle w:val="Heading1"/>
        <w:spacing w:before="400" w:after="200"/>
      </w:pPr>
      <w:r>
        <w:rPr>
          <w:rFonts w:ascii="Arial" w:cs="Arial" w:eastAsia="Arial" w:hAnsi="Arial"/>
          <w:b/>
          <w:bCs/>
          <w:color w:val="1F4E5F"/>
          <w:sz w:val="36"/>
          <w:szCs w:val="36"/>
        </w:rPr>
        <w:t xml:space="preserve">1. Comprehensive Model Comparison</w:t>
      </w:r>
    </w:p>
    <w:p>
      <w:pPr>
        <w:spacing w:after="200"/>
      </w:pPr>
      <w:r>
        <w:rPr>
          <w:rFonts w:ascii="Arial" w:cs="Arial" w:eastAsia="Arial" w:hAnsi="Arial"/>
          <w:sz w:val="22"/>
          <w:szCs w:val="22"/>
        </w:rPr>
        <w:t xml:space="preserve">The following table provides detailed comparison across architectural, data, task, and governance dimensions. Green highlighting indicates Leopold advantages; yellow indicates acknowledged gaps.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00"/>
        <w:gridCol w:w="2100"/>
        <w:gridCol w:w="2100"/>
        <w:gridCol w:w="1940"/>
        <w:gridCol w:w="1740"/>
      </w:tblGrid>
      <w:tr>
        <w:tc>
          <w:tcPr>
            <w:tcW w:type="dxa" w:w="2200"/>
            <w:tcBorders>
              <w:top w:val="single" w:color="CCCCCC" w:sz="1"/>
              <w:left w:val="single" w:color="CCCCCC" w:sz="1"/>
              <w:bottom w:val="single" w:color="CCCCCC" w:sz="1"/>
              <w:right w:val="single" w:color="CCCCCC" w:sz="1"/>
            </w:tcBorders>
            <w:shd w:fill="1F4E5F"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Dimension</w:t>
            </w:r>
          </w:p>
        </w:tc>
        <w:tc>
          <w:tcPr>
            <w:tcW w:type="dxa" w:w="2100"/>
            <w:tcBorders>
              <w:top w:val="single" w:color="CCCCCC" w:sz="1"/>
              <w:left w:val="single" w:color="CCCCCC" w:sz="1"/>
              <w:bottom w:val="single" w:color="CCCCCC" w:sz="1"/>
              <w:right w:val="single" w:color="CCCCCC" w:sz="1"/>
            </w:tcBorders>
            <w:shd w:fill="1F4E5F"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Prithvi-EO-2.0</w:t>
            </w:r>
          </w:p>
        </w:tc>
        <w:tc>
          <w:tcPr>
            <w:tcW w:type="dxa" w:w="2100"/>
            <w:tcBorders>
              <w:top w:val="single" w:color="CCCCCC" w:sz="1"/>
              <w:left w:val="single" w:color="CCCCCC" w:sz="1"/>
              <w:bottom w:val="single" w:color="CCCCCC" w:sz="1"/>
              <w:right w:val="single" w:color="CCCCCC" w:sz="1"/>
            </w:tcBorders>
            <w:shd w:fill="1F4E5F"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SatMAE</w:t>
            </w:r>
          </w:p>
        </w:tc>
        <w:tc>
          <w:tcPr>
            <w:tcW w:type="dxa" w:w="1940"/>
            <w:tcBorders>
              <w:top w:val="single" w:color="CCCCCC" w:sz="1"/>
              <w:left w:val="single" w:color="CCCCCC" w:sz="1"/>
              <w:bottom w:val="single" w:color="CCCCCC" w:sz="1"/>
              <w:right w:val="single" w:color="CCCCCC" w:sz="1"/>
            </w:tcBorders>
            <w:shd w:fill="1F4E5F"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TESSERA</w:t>
            </w:r>
          </w:p>
        </w:tc>
        <w:tc>
          <w:tcPr>
            <w:tcW w:type="dxa" w:w="1740"/>
            <w:tcBorders>
              <w:top w:val="single" w:color="CCCCCC" w:sz="1"/>
              <w:left w:val="single" w:color="CCCCCC" w:sz="1"/>
              <w:bottom w:val="single" w:color="CCCCCC" w:sz="1"/>
              <w:right w:val="single" w:color="CCCCCC" w:sz="1"/>
            </w:tcBorders>
            <w:shd w:fill="1F4E5F"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Leopold</w:t>
            </w:r>
          </w:p>
        </w:tc>
      </w:tr>
      <w:tr>
        <w:tc>
          <w:tcPr>
            <w:tcW w:type="dxa" w:w="22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Architecture</w:t>
            </w:r>
          </w:p>
        </w:tc>
        <w:tc>
          <w:tcPr>
            <w:tcW w:type="dxa" w:w="2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ViT + MAE, 3D patch embeddings</w:t>
            </w:r>
          </w:p>
        </w:tc>
        <w:tc>
          <w:tcPr>
            <w:tcW w:type="dxa" w:w="2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ViT + MAE, temporal attention</w:t>
            </w:r>
          </w:p>
        </w:tc>
        <w:tc>
          <w:tcPr>
            <w:tcW w:type="dxa" w:w="19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Barlow Twins SSL</w:t>
            </w:r>
          </w:p>
        </w:tc>
        <w:tc>
          <w:tcPr>
            <w:tcW w:type="dxa" w:w="1740"/>
            <w:tcBorders>
              <w:top w:val="single" w:color="CCCCCC" w:sz="1"/>
              <w:left w:val="single" w:color="CCCCCC" w:sz="1"/>
              <w:bottom w:val="single" w:color="CCCCCC" w:sz="1"/>
              <w:right w:val="single" w:color="CCCCCC" w:sz="1"/>
            </w:tcBorders>
            <w:shd w:fill="C6EFCE" w:val="clear"/>
            <w:tcMar>
              <w:top w:type="dxa" w:w="80"/>
              <w:left w:type="dxa" w:w="120"/>
              <w:bottom w:type="dxa" w:w="80"/>
              <w:right w:type="dxa" w:w="120"/>
            </w:tcMar>
          </w:tcPr>
          <w:p>
            <w:r>
              <w:rPr>
                <w:rFonts w:ascii="Arial" w:cs="Arial" w:eastAsia="Arial" w:hAnsi="Arial"/>
                <w:sz w:val="18"/>
                <w:szCs w:val="18"/>
              </w:rPr>
              <w:t xml:space="preserve">JEPA + VICReg</w:t>
            </w:r>
          </w:p>
        </w:tc>
      </w:tr>
      <w:tr>
        <w:tc>
          <w:tcPr>
            <w:tcW w:type="dxa" w:w="22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Parameters</w:t>
            </w:r>
          </w:p>
        </w:tc>
        <w:tc>
          <w:tcPr>
            <w:tcW w:type="dxa" w:w="2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300M / 600M</w:t>
            </w:r>
          </w:p>
        </w:tc>
        <w:tc>
          <w:tcPr>
            <w:tcW w:type="dxa" w:w="2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~100M</w:t>
            </w:r>
          </w:p>
        </w:tc>
        <w:tc>
          <w:tcPr>
            <w:tcW w:type="dxa" w:w="19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~50M encoder</w:t>
            </w:r>
          </w:p>
        </w:tc>
        <w:tc>
          <w:tcPr>
            <w:tcW w:type="dxa" w:w="17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TBD (domain-focused)</w:t>
            </w:r>
          </w:p>
        </w:tc>
      </w:tr>
      <w:tr>
        <w:tc>
          <w:tcPr>
            <w:tcW w:type="dxa" w:w="22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Training Data</w:t>
            </w:r>
          </w:p>
        </w:tc>
        <w:tc>
          <w:tcPr>
            <w:tcW w:type="dxa" w:w="2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4.2M HLS tiles (global)</w:t>
            </w:r>
          </w:p>
        </w:tc>
        <w:tc>
          <w:tcPr>
            <w:tcW w:type="dxa" w:w="2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HLS imagery (US)</w:t>
            </w:r>
          </w:p>
        </w:tc>
        <w:tc>
          <w:tcPr>
            <w:tcW w:type="dxa" w:w="19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Sentinel-2 global</w:t>
            </w:r>
          </w:p>
        </w:tc>
        <w:tc>
          <w:tcPr>
            <w:tcW w:type="dxa" w:w="1740"/>
            <w:tcBorders>
              <w:top w:val="single" w:color="CCCCCC" w:sz="1"/>
              <w:left w:val="single" w:color="CCCCCC" w:sz="1"/>
              <w:bottom w:val="single" w:color="CCCCCC" w:sz="1"/>
              <w:right w:val="single" w:color="CCCCCC" w:sz="1"/>
            </w:tcBorders>
            <w:shd w:fill="C6EFCE" w:val="clear"/>
            <w:tcMar>
              <w:top w:type="dxa" w:w="80"/>
              <w:left w:type="dxa" w:w="120"/>
              <w:bottom w:type="dxa" w:w="80"/>
              <w:right w:type="dxa" w:w="120"/>
            </w:tcMar>
          </w:tcPr>
          <w:p>
            <w:r>
              <w:rPr>
                <w:rFonts w:ascii="Arial" w:cs="Arial" w:eastAsia="Arial" w:hAnsi="Arial"/>
                <w:sz w:val="18"/>
                <w:szCs w:val="18"/>
              </w:rPr>
              <w:t xml:space="preserve">Citizen-science events</w:t>
            </w:r>
          </w:p>
        </w:tc>
      </w:tr>
      <w:tr>
        <w:tc>
          <w:tcPr>
            <w:tcW w:type="dxa" w:w="22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Spatial Resolution</w:t>
            </w:r>
          </w:p>
        </w:tc>
        <w:tc>
          <w:tcPr>
            <w:tcW w:type="dxa" w:w="2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30m native, 0.1-15m tested</w:t>
            </w:r>
          </w:p>
        </w:tc>
        <w:tc>
          <w:tcPr>
            <w:tcW w:type="dxa" w:w="2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30m</w:t>
            </w:r>
          </w:p>
        </w:tc>
        <w:tc>
          <w:tcPr>
            <w:tcW w:type="dxa" w:w="19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10m</w:t>
            </w:r>
          </w:p>
        </w:tc>
        <w:tc>
          <w:tcPr>
            <w:tcW w:type="dxa" w:w="17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Event-level (variable)</w:t>
            </w:r>
          </w:p>
        </w:tc>
      </w:tr>
      <w:tr>
        <w:tc>
          <w:tcPr>
            <w:tcW w:type="dxa" w:w="22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Primary Task</w:t>
            </w:r>
          </w:p>
        </w:tc>
        <w:tc>
          <w:tcPr>
            <w:tcW w:type="dxa" w:w="2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Land-cover segmentation</w:t>
            </w:r>
          </w:p>
        </w:tc>
        <w:tc>
          <w:tcPr>
            <w:tcW w:type="dxa" w:w="2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Scene classification</w:t>
            </w:r>
          </w:p>
        </w:tc>
        <w:tc>
          <w:tcPr>
            <w:tcW w:type="dxa" w:w="19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Land classification</w:t>
            </w:r>
          </w:p>
        </w:tc>
        <w:tc>
          <w:tcPr>
            <w:tcW w:type="dxa" w:w="1740"/>
            <w:tcBorders>
              <w:top w:val="single" w:color="CCCCCC" w:sz="1"/>
              <w:left w:val="single" w:color="CCCCCC" w:sz="1"/>
              <w:bottom w:val="single" w:color="CCCCCC" w:sz="1"/>
              <w:right w:val="single" w:color="CCCCCC" w:sz="1"/>
            </w:tcBorders>
            <w:shd w:fill="C6EFCE" w:val="clear"/>
            <w:tcMar>
              <w:top w:type="dxa" w:w="80"/>
              <w:left w:type="dxa" w:w="120"/>
              <w:bottom w:type="dxa" w:w="80"/>
              <w:right w:type="dxa" w:w="120"/>
            </w:tcMar>
          </w:tcPr>
          <w:p>
            <w:r>
              <w:rPr>
                <w:rFonts w:ascii="Arial" w:cs="Arial" w:eastAsia="Arial" w:hAnsi="Arial"/>
                <w:sz w:val="18"/>
                <w:szCs w:val="18"/>
              </w:rPr>
              <w:t xml:space="preserve">Species-level ecology</w:t>
            </w:r>
          </w:p>
        </w:tc>
      </w:tr>
      <w:tr>
        <w:tc>
          <w:tcPr>
            <w:tcW w:type="dxa" w:w="22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Modalities</w:t>
            </w:r>
          </w:p>
        </w:tc>
        <w:tc>
          <w:tcPr>
            <w:tcW w:type="dxa" w:w="2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6-band multispectral</w:t>
            </w:r>
          </w:p>
        </w:tc>
        <w:tc>
          <w:tcPr>
            <w:tcW w:type="dxa" w:w="2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6-band multispectral</w:t>
            </w:r>
          </w:p>
        </w:tc>
        <w:tc>
          <w:tcPr>
            <w:tcW w:type="dxa" w:w="19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Multispectral</w:t>
            </w:r>
          </w:p>
        </w:tc>
        <w:tc>
          <w:tcPr>
            <w:tcW w:type="dxa" w:w="1740"/>
            <w:tcBorders>
              <w:top w:val="single" w:color="CCCCCC" w:sz="1"/>
              <w:left w:val="single" w:color="CCCCCC" w:sz="1"/>
              <w:bottom w:val="single" w:color="CCCCCC" w:sz="1"/>
              <w:right w:val="single" w:color="CCCCCC" w:sz="1"/>
            </w:tcBorders>
            <w:shd w:fill="C6EFCE" w:val="clear"/>
            <w:tcMar>
              <w:top w:type="dxa" w:w="80"/>
              <w:left w:type="dxa" w:w="120"/>
              <w:bottom w:type="dxa" w:w="80"/>
              <w:right w:type="dxa" w:w="120"/>
            </w:tcMar>
          </w:tcPr>
          <w:p>
            <w:r>
              <w:rPr>
                <w:rFonts w:ascii="Arial" w:cs="Arial" w:eastAsia="Arial" w:hAnsi="Arial"/>
                <w:sz w:val="18"/>
                <w:szCs w:val="18"/>
              </w:rPr>
              <w:t xml:space="preserve">Visual + audio + plant</w:t>
            </w:r>
          </w:p>
        </w:tc>
      </w:tr>
      <w:tr>
        <w:tc>
          <w:tcPr>
            <w:tcW w:type="dxa" w:w="22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Temporal Modeling</w:t>
            </w:r>
          </w:p>
        </w:tc>
        <w:tc>
          <w:tcPr>
            <w:tcW w:type="dxa" w:w="2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Multi-temporal sequences</w:t>
            </w:r>
          </w:p>
        </w:tc>
        <w:tc>
          <w:tcPr>
            <w:tcW w:type="dxa" w:w="2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Multi-temporal sequences</w:t>
            </w:r>
          </w:p>
        </w:tc>
        <w:tc>
          <w:tcPr>
            <w:tcW w:type="dxa" w:w="19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Seasonal phenology</w:t>
            </w:r>
          </w:p>
        </w:tc>
        <w:tc>
          <w:tcPr>
            <w:tcW w:type="dxa" w:w="1740"/>
            <w:tcBorders>
              <w:top w:val="single" w:color="CCCCCC" w:sz="1"/>
              <w:left w:val="single" w:color="CCCCCC" w:sz="1"/>
              <w:bottom w:val="single" w:color="CCCCCC" w:sz="1"/>
              <w:right w:val="single" w:color="CCCCCC" w:sz="1"/>
            </w:tcBorders>
            <w:shd w:fill="C6EFCE" w:val="clear"/>
            <w:tcMar>
              <w:top w:type="dxa" w:w="80"/>
              <w:left w:type="dxa" w:w="120"/>
              <w:bottom w:type="dxa" w:w="80"/>
              <w:right w:type="dxa" w:w="120"/>
            </w:tcMar>
          </w:tcPr>
          <w:p>
            <w:r>
              <w:rPr>
                <w:rFonts w:ascii="Arial" w:cs="Arial" w:eastAsia="Arial" w:hAnsi="Arial"/>
                <w:sz w:val="18"/>
                <w:szCs w:val="18"/>
              </w:rPr>
              <w:t xml:space="preserve">Phenology + effort duration</w:t>
            </w:r>
          </w:p>
        </w:tc>
      </w:tr>
      <w:tr>
        <w:tc>
          <w:tcPr>
            <w:tcW w:type="dxa" w:w="22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Geo Conditioning</w:t>
            </w:r>
          </w:p>
        </w:tc>
        <w:tc>
          <w:tcPr>
            <w:tcW w:type="dxa" w:w="2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Location embeddings</w:t>
            </w:r>
          </w:p>
        </w:tc>
        <w:tc>
          <w:tcPr>
            <w:tcW w:type="dxa" w:w="2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Limited</w:t>
            </w:r>
          </w:p>
        </w:tc>
        <w:tc>
          <w:tcPr>
            <w:tcW w:type="dxa" w:w="19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Global embeddings</w:t>
            </w:r>
          </w:p>
        </w:tc>
        <w:tc>
          <w:tcPr>
            <w:tcW w:type="dxa" w:w="1740"/>
            <w:tcBorders>
              <w:top w:val="single" w:color="CCCCCC" w:sz="1"/>
              <w:left w:val="single" w:color="CCCCCC" w:sz="1"/>
              <w:bottom w:val="single" w:color="CCCCCC" w:sz="1"/>
              <w:right w:val="single" w:color="CCCCCC" w:sz="1"/>
            </w:tcBorders>
            <w:shd w:fill="C6EFCE" w:val="clear"/>
            <w:tcMar>
              <w:top w:type="dxa" w:w="80"/>
              <w:left w:type="dxa" w:w="120"/>
              <w:bottom w:type="dxa" w:w="80"/>
              <w:right w:type="dxa" w:w="120"/>
            </w:tcMar>
          </w:tcPr>
          <w:p>
            <w:r>
              <w:rPr>
                <w:rFonts w:ascii="Arial" w:cs="Arial" w:eastAsia="Arial" w:hAnsi="Arial"/>
                <w:sz w:val="18"/>
                <w:szCs w:val="18"/>
              </w:rPr>
              <w:t xml:space="preserve">Prefix tokens + privacy bucketing</w:t>
            </w:r>
          </w:p>
        </w:tc>
      </w:tr>
      <w:tr>
        <w:tc>
          <w:tcPr>
            <w:tcW w:type="dxa" w:w="22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Bias Handling</w:t>
            </w:r>
          </w:p>
        </w:tc>
        <w:tc>
          <w:tcPr>
            <w:tcW w:type="dxa" w:w="2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Not explicit</w:t>
            </w:r>
          </w:p>
        </w:tc>
        <w:tc>
          <w:tcPr>
            <w:tcW w:type="dxa" w:w="2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Not explicit</w:t>
            </w:r>
          </w:p>
        </w:tc>
        <w:tc>
          <w:tcPr>
            <w:tcW w:type="dxa" w:w="19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Not explicit</w:t>
            </w:r>
          </w:p>
        </w:tc>
        <w:tc>
          <w:tcPr>
            <w:tcW w:type="dxa" w:w="1740"/>
            <w:tcBorders>
              <w:top w:val="single" w:color="CCCCCC" w:sz="1"/>
              <w:left w:val="single" w:color="CCCCCC" w:sz="1"/>
              <w:bottom w:val="single" w:color="CCCCCC" w:sz="1"/>
              <w:right w:val="single" w:color="CCCCCC" w:sz="1"/>
            </w:tcBorders>
            <w:shd w:fill="C6EFCE" w:val="clear"/>
            <w:tcMar>
              <w:top w:type="dxa" w:w="80"/>
              <w:left w:type="dxa" w:w="120"/>
              <w:bottom w:type="dxa" w:w="80"/>
              <w:right w:type="dxa" w:w="120"/>
            </w:tcMar>
          </w:tcPr>
          <w:p>
            <w:r>
              <w:rPr>
                <w:rFonts w:ascii="Arial" w:cs="Arial" w:eastAsia="Arial" w:hAnsi="Arial"/>
                <w:sz w:val="18"/>
                <w:szCs w:val="18"/>
              </w:rPr>
              <w:t xml:space="preserve">Effort/protocol metadata</w:t>
            </w:r>
          </w:p>
        </w:tc>
      </w:tr>
      <w:tr>
        <w:tc>
          <w:tcPr>
            <w:tcW w:type="dxa" w:w="22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Provenance</w:t>
            </w:r>
          </w:p>
        </w:tc>
        <w:tc>
          <w:tcPr>
            <w:tcW w:type="dxa" w:w="2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Standard ML logging</w:t>
            </w:r>
          </w:p>
        </w:tc>
        <w:tc>
          <w:tcPr>
            <w:tcW w:type="dxa" w:w="2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Standard ML logging</w:t>
            </w:r>
          </w:p>
        </w:tc>
        <w:tc>
          <w:tcPr>
            <w:tcW w:type="dxa" w:w="19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Standard ML logging</w:t>
            </w:r>
          </w:p>
        </w:tc>
        <w:tc>
          <w:tcPr>
            <w:tcW w:type="dxa" w:w="1740"/>
            <w:tcBorders>
              <w:top w:val="single" w:color="CCCCCC" w:sz="1"/>
              <w:left w:val="single" w:color="CCCCCC" w:sz="1"/>
              <w:bottom w:val="single" w:color="CCCCCC" w:sz="1"/>
              <w:right w:val="single" w:color="CCCCCC" w:sz="1"/>
            </w:tcBorders>
            <w:shd w:fill="C6EFCE" w:val="clear"/>
            <w:tcMar>
              <w:top w:type="dxa" w:w="80"/>
              <w:left w:type="dxa" w:w="120"/>
              <w:bottom w:type="dxa" w:w="80"/>
              <w:right w:type="dxa" w:w="120"/>
            </w:tcMar>
          </w:tcPr>
          <w:p>
            <w:r>
              <w:rPr>
                <w:rFonts w:ascii="Arial" w:cs="Arial" w:eastAsia="Arial" w:hAnsi="Arial"/>
                <w:sz w:val="18"/>
                <w:szCs w:val="18"/>
              </w:rPr>
              <w:t xml:space="preserve">Merkle roots + evidence bundles</w:t>
            </w:r>
          </w:p>
        </w:tc>
      </w:tr>
      <w:tr>
        <w:tc>
          <w:tcPr>
            <w:tcW w:type="dxa" w:w="22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GEO-Bench Score</w:t>
            </w:r>
          </w:p>
        </w:tc>
        <w:tc>
          <w:tcPr>
            <w:tcW w:type="dxa" w:w="2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75.6% (top performer)</w:t>
            </w:r>
          </w:p>
        </w:tc>
        <w:tc>
          <w:tcPr>
            <w:tcW w:type="dxa" w:w="2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~67%</w:t>
            </w:r>
          </w:p>
        </w:tc>
        <w:tc>
          <w:tcPr>
            <w:tcW w:type="dxa" w:w="19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Competitive</w:t>
            </w:r>
          </w:p>
        </w:tc>
        <w:tc>
          <w:tcPr>
            <w:tcW w:type="dxa" w:w="1740"/>
            <w:tcBorders>
              <w:top w:val="single" w:color="CCCCCC" w:sz="1"/>
              <w:left w:val="single" w:color="CCCCCC" w:sz="1"/>
              <w:bottom w:val="single" w:color="CCCCCC" w:sz="1"/>
              <w:right w:val="single" w:color="CCCCCC" w:sz="1"/>
            </w:tcBorders>
            <w:shd w:fill="FFEB9C" w:val="clear"/>
            <w:tcMar>
              <w:top w:type="dxa" w:w="80"/>
              <w:left w:type="dxa" w:w="120"/>
              <w:bottom w:type="dxa" w:w="80"/>
              <w:right w:type="dxa" w:w="120"/>
            </w:tcMar>
          </w:tcPr>
          <w:p>
            <w:r>
              <w:rPr>
                <w:rFonts w:ascii="Arial" w:cs="Arial" w:eastAsia="Arial" w:hAnsi="Arial"/>
                <w:sz w:val="18"/>
                <w:szCs w:val="18"/>
              </w:rPr>
              <w:t xml:space="preserve">N/A (different tasks)</w:t>
            </w:r>
          </w:p>
        </w:tc>
      </w:tr>
      <w:tr>
        <w:tc>
          <w:tcPr>
            <w:tcW w:type="dxa" w:w="22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Open Source</w:t>
            </w:r>
          </w:p>
        </w:tc>
        <w:tc>
          <w:tcPr>
            <w:tcW w:type="dxa" w:w="2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Yes (HuggingFace)</w:t>
            </w:r>
          </w:p>
        </w:tc>
        <w:tc>
          <w:tcPr>
            <w:tcW w:type="dxa" w:w="2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Yes</w:t>
            </w:r>
          </w:p>
        </w:tc>
        <w:tc>
          <w:tcPr>
            <w:tcW w:type="dxa" w:w="19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Yes (CC0)</w:t>
            </w:r>
          </w:p>
        </w:tc>
        <w:tc>
          <w:tcPr>
            <w:tcW w:type="dxa" w:w="17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Planned</w:t>
            </w:r>
          </w:p>
        </w:tc>
      </w:tr>
    </w:tbl>
    <w:p>
      <w:pPr>
        <w:spacing w:after="300"/>
      </w:pPr>
    </w:p>
    <w:p>
      <w:pPr>
        <w:spacing w:after="200"/>
      </w:pPr>
      <w:r>
        <w:rPr>
          <w:rFonts w:ascii="Arial" w:cs="Arial" w:eastAsia="Arial" w:hAnsi="Arial"/>
          <w:i/>
          <w:iCs/>
          <w:color w:val="555555"/>
          <w:sz w:val="22"/>
          <w:szCs w:val="22"/>
        </w:rPr>
        <w:t xml:space="preserve">Table 1: Multi-dimensional comparison of geospatial foundation models. Leopold advantages highlighted in green; acknowledged gaps in yellow.</w:t>
      </w:r>
    </w:p>
    <w:p>
      <w:r>
        <w:br w:type="page"/>
      </w:r>
    </w:p>
    <w:p>
      <w:pPr>
        <w:pStyle w:val="Heading1"/>
        <w:spacing w:before="400" w:after="200"/>
      </w:pPr>
      <w:r>
        <w:rPr>
          <w:rFonts w:ascii="Arial" w:cs="Arial" w:eastAsia="Arial" w:hAnsi="Arial"/>
          <w:b/>
          <w:bCs/>
          <w:color w:val="1F4E5F"/>
          <w:sz w:val="36"/>
          <w:szCs w:val="36"/>
        </w:rPr>
        <w:t xml:space="preserve">2. Differentiation Analysis</w:t>
      </w:r>
    </w:p>
    <w:p>
      <w:pPr>
        <w:pStyle w:val="Heading2"/>
        <w:spacing w:before="320" w:after="160"/>
      </w:pPr>
      <w:r>
        <w:rPr>
          <w:rFonts w:ascii="Arial" w:cs="Arial" w:eastAsia="Arial" w:hAnsi="Arial"/>
          <w:b/>
          <w:bCs/>
          <w:color w:val="2D6A4F"/>
          <w:sz w:val="28"/>
          <w:szCs w:val="28"/>
        </w:rPr>
        <w:t xml:space="preserve">2.1 Why Not Just Fine-Tune Prithvi?</w:t>
      </w:r>
    </w:p>
    <w:p>
      <w:pPr>
        <w:spacing w:after="200"/>
      </w:pPr>
      <w:r>
        <w:rPr>
          <w:rFonts w:ascii="Arial" w:cs="Arial" w:eastAsia="Arial" w:hAnsi="Arial"/>
          <w:sz w:val="22"/>
          <w:szCs w:val="22"/>
        </w:rPr>
        <w:t xml:space="preserve">A reasonable reviewer question: given Prithvi-EO-2.0's strong performance and open availability, why build Leopold rather than fine-tuning Prithvi for ecological tasks?</w:t>
      </w:r>
    </w:p>
    <w:p>
      <w:pPr>
        <w:pStyle w:val="Heading3"/>
        <w:spacing w:before="240" w:after="120"/>
      </w:pPr>
      <w:r>
        <w:rPr>
          <w:rFonts w:ascii="Arial" w:cs="Arial" w:eastAsia="Arial" w:hAnsi="Arial"/>
          <w:b/>
          <w:bCs/>
          <w:color w:val="40916C"/>
          <w:sz w:val="24"/>
          <w:szCs w:val="24"/>
        </w:rPr>
        <w:t xml:space="preserve">Answer: Fundamental Inference Target Mismatch</w:t>
      </w:r>
    </w:p>
    <w:p>
      <w:pPr>
        <w:pStyle w:val="ListParagraph"/>
        <w:numPr>
          <w:ilvl w:val="0"/>
          <w:numId w:val="2"/>
        </w:numPr>
        <w:spacing w:after="120"/>
      </w:pPr>
      <w:r>
        <w:rPr>
          <w:rFonts w:ascii="Arial" w:cs="Arial" w:eastAsia="Arial" w:hAnsi="Arial"/>
          <w:b/>
          <w:bCs/>
          <w:sz w:val="22"/>
          <w:szCs w:val="22"/>
        </w:rPr>
        <w:t xml:space="preserve">Prithvi predicts land-cover classes from satellite pixels. </w:t>
      </w:r>
      <w:r>
        <w:rPr>
          <w:rFonts w:ascii="Arial" w:cs="Arial" w:eastAsia="Arial" w:hAnsi="Arial"/>
          <w:sz w:val="22"/>
          <w:szCs w:val="22"/>
        </w:rPr>
        <w:t xml:space="preserve">Leopold predicts species presence from observation events. These are categorically different inference targets requiring different data contracts.</w:t>
      </w:r>
    </w:p>
    <w:p>
      <w:pPr>
        <w:pStyle w:val="ListParagraph"/>
        <w:numPr>
          <w:ilvl w:val="0"/>
          <w:numId w:val="2"/>
        </w:numPr>
        <w:spacing w:after="120"/>
      </w:pPr>
      <w:r>
        <w:rPr>
          <w:rFonts w:ascii="Arial" w:cs="Arial" w:eastAsia="Arial" w:hAnsi="Arial"/>
          <w:b/>
          <w:bCs/>
          <w:sz w:val="22"/>
          <w:szCs w:val="22"/>
        </w:rPr>
        <w:t xml:space="preserve">Prithvi's training data (HLS satellite imagery) contains no species-level labels. </w:t>
      </w:r>
      <w:r>
        <w:rPr>
          <w:rFonts w:ascii="Arial" w:cs="Arial" w:eastAsia="Arial" w:hAnsi="Arial"/>
          <w:sz w:val="22"/>
          <w:szCs w:val="22"/>
        </w:rPr>
        <w:t xml:space="preserve">Fine-tuning for species would require labeled ecological datasets that don't exist at Prithvi's scale.</w:t>
      </w:r>
    </w:p>
    <w:p>
      <w:pPr>
        <w:pStyle w:val="ListParagraph"/>
        <w:numPr>
          <w:ilvl w:val="0"/>
          <w:numId w:val="2"/>
        </w:numPr>
        <w:spacing w:after="120"/>
      </w:pPr>
      <w:r>
        <w:rPr>
          <w:rFonts w:ascii="Arial" w:cs="Arial" w:eastAsia="Arial" w:hAnsi="Arial"/>
          <w:b/>
          <w:bCs/>
          <w:sz w:val="22"/>
          <w:szCs w:val="22"/>
        </w:rPr>
        <w:t xml:space="preserve">Prithvi has no acoustic modality. </w:t>
      </w:r>
      <w:r>
        <w:rPr>
          <w:rFonts w:ascii="Arial" w:cs="Arial" w:eastAsia="Arial" w:hAnsi="Arial"/>
          <w:sz w:val="22"/>
          <w:szCs w:val="22"/>
        </w:rPr>
        <w:t xml:space="preserve">Bat echolocation, bird vocalizations, and amphibian calls—critical for nocturnal and cryptic species monitoring—cannot be processed by Prithvi's architecture.</w:t>
      </w:r>
    </w:p>
    <w:p>
      <w:pPr>
        <w:pStyle w:val="ListParagraph"/>
        <w:numPr>
          <w:ilvl w:val="0"/>
          <w:numId w:val="2"/>
        </w:numPr>
        <w:spacing w:after="200"/>
      </w:pPr>
      <w:r>
        <w:rPr>
          <w:rFonts w:ascii="Arial" w:cs="Arial" w:eastAsia="Arial" w:hAnsi="Arial"/>
          <w:b/>
          <w:bCs/>
          <w:sz w:val="22"/>
          <w:szCs w:val="22"/>
        </w:rPr>
        <w:t xml:space="preserve">Prithvi lacks citizen-science bias conditioning. </w:t>
      </w:r>
      <w:r>
        <w:rPr>
          <w:rFonts w:ascii="Arial" w:cs="Arial" w:eastAsia="Arial" w:hAnsi="Arial"/>
          <w:sz w:val="22"/>
          <w:szCs w:val="22"/>
        </w:rPr>
        <w:t xml:space="preserve">Effort duration, protocol type, and observer behavior—documented sources of systematic bias in ecological data—are not representable in Prithvi's input schema.</w:t>
      </w:r>
    </w:p>
    <w:p>
      <w:pPr>
        <w:pStyle w:val="Heading3"/>
        <w:spacing w:before="240" w:after="120"/>
      </w:pPr>
      <w:r>
        <w:rPr>
          <w:rFonts w:ascii="Arial" w:cs="Arial" w:eastAsia="Arial" w:hAnsi="Arial"/>
          <w:b/>
          <w:bCs/>
          <w:color w:val="40916C"/>
          <w:sz w:val="24"/>
          <w:szCs w:val="24"/>
        </w:rPr>
        <w:t xml:space="preserve">Complementary Integration Path</w:t>
      </w:r>
    </w:p>
    <w:p>
      <w:pPr>
        <w:spacing w:after="200"/>
      </w:pPr>
      <w:r>
        <w:rPr>
          <w:rFonts w:ascii="Arial" w:cs="Arial" w:eastAsia="Arial" w:hAnsi="Arial"/>
          <w:sz w:val="22"/>
          <w:szCs w:val="22"/>
        </w:rPr>
        <w:t xml:space="preserve">Rather than competing with Prithvi, Leopold can consume Prithvi-derived embeddings as habitat context. A location's land-cover classification (from Prithvi) becomes upstream conditioning for Leopold's species-level predictions. This treats Prithvi as infrastructure, not competition.</w:t>
      </w:r>
    </w:p>
    <w:p>
      <w:pPr>
        <w:pStyle w:val="Heading2"/>
        <w:spacing w:before="320" w:after="160"/>
      </w:pPr>
      <w:r>
        <w:rPr>
          <w:rFonts w:ascii="Arial" w:cs="Arial" w:eastAsia="Arial" w:hAnsi="Arial"/>
          <w:b/>
          <w:bCs/>
          <w:color w:val="2D6A4F"/>
          <w:sz w:val="28"/>
          <w:szCs w:val="28"/>
        </w:rPr>
        <w:t xml:space="preserve">2.2 Unique Value Propositions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1"/>
              <w:left w:val="single" w:color="CCCCCC" w:sz="1"/>
              <w:bottom w:val="single" w:color="CCCCCC" w:sz="1"/>
              <w:right w:val="single" w:color="CCCCCC" w:sz="1"/>
            </w:tcBorders>
            <w:shd w:fill="1F4E5F"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Capability</w:t>
            </w:r>
          </w:p>
        </w:tc>
        <w:tc>
          <w:tcPr>
            <w:tcW w:type="dxa" w:w="7280"/>
            <w:tcBorders>
              <w:top w:val="single" w:color="CCCCCC" w:sz="1"/>
              <w:left w:val="single" w:color="CCCCCC" w:sz="1"/>
              <w:bottom w:val="single" w:color="CCCCCC" w:sz="1"/>
              <w:right w:val="single" w:color="CCCCCC" w:sz="1"/>
            </w:tcBorders>
            <w:shd w:fill="1F4E5F"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Leopold's Unique Contribution</w:t>
            </w:r>
          </w:p>
        </w:tc>
      </w:tr>
      <w:tr>
        <w:tc>
          <w:tcPr>
            <w:tcW w:type="dxa" w:w="28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Acoustic Species ID</w:t>
            </w:r>
          </w:p>
        </w:tc>
        <w:tc>
          <w:tcPr>
            <w:tcW w:type="dxa" w:w="72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First JEPA-based architecture designed for multi-modal wildlife identification including bioacoustic signals. Enables monitoring of bats, nocturnal birds, amphibians, and insects that are invisible to satellite imagery.</w:t>
            </w:r>
          </w:p>
        </w:tc>
      </w:tr>
      <w:tr>
        <w:tc>
          <w:tcPr>
            <w:tcW w:type="dxa" w:w="28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Citizen-Science Native</w:t>
            </w:r>
          </w:p>
        </w:tc>
        <w:tc>
          <w:tcPr>
            <w:tcW w:type="dxa" w:w="72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Data contracts explicitly model effort duration, protocol type, and observer behavior—addressing documented spatial and temporal biases in eBird, iNaturalist, and similar platforms.</w:t>
            </w:r>
          </w:p>
        </w:tc>
      </w:tr>
      <w:tr>
        <w:tc>
          <w:tcPr>
            <w:tcW w:type="dxa" w:w="28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Ecological State Vectors</w:t>
            </w:r>
          </w:p>
        </w:tc>
        <w:tc>
          <w:tcPr>
            <w:tcW w:type="dxa" w:w="72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Outputs probabilistic ecological state estimates (ESVs) rather than pixel classifications. ESVs express uncertainty and are designed for downstream decision support in conservation contexts.</w:t>
            </w:r>
          </w:p>
        </w:tc>
      </w:tr>
      <w:tr>
        <w:tc>
          <w:tcPr>
            <w:tcW w:type="dxa" w:w="28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Provenance Architecture</w:t>
            </w:r>
          </w:p>
        </w:tc>
        <w:tc>
          <w:tcPr>
            <w:tcW w:type="dxa" w:w="72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Every training run emits cryptographically verifiable evidence bundles with Merkle-rooted data manifests. Designed for regulatory and scientific audit requirements.</w:t>
            </w:r>
          </w:p>
        </w:tc>
      </w:tr>
      <w:tr>
        <w:tc>
          <w:tcPr>
            <w:tcW w:type="dxa" w:w="28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Regional Calibration</w:t>
            </w:r>
          </w:p>
        </w:tc>
        <w:tc>
          <w:tcPr>
            <w:tcW w:type="dxa" w:w="72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Targeted holdout protocols (e.g., Kentucky calibration sites) enable falsification testing and context-sensitivity validation before deployment.</w:t>
            </w:r>
          </w:p>
        </w:tc>
      </w:tr>
    </w:tbl>
    <w:p>
      <w:r>
        <w:br w:type="page"/>
      </w:r>
    </w:p>
    <w:p>
      <w:pPr>
        <w:pStyle w:val="Heading1"/>
        <w:spacing w:before="400" w:after="200"/>
      </w:pPr>
      <w:r>
        <w:rPr>
          <w:rFonts w:ascii="Arial" w:cs="Arial" w:eastAsia="Arial" w:hAnsi="Arial"/>
          <w:b/>
          <w:bCs/>
          <w:color w:val="1F4E5F"/>
          <w:sz w:val="36"/>
          <w:szCs w:val="36"/>
        </w:rPr>
        <w:t xml:space="preserve">3. Benchmark Positioning</w:t>
      </w:r>
    </w:p>
    <w:p>
      <w:pPr>
        <w:pStyle w:val="Heading2"/>
        <w:spacing w:before="320" w:after="160"/>
      </w:pPr>
      <w:r>
        <w:rPr>
          <w:rFonts w:ascii="Arial" w:cs="Arial" w:eastAsia="Arial" w:hAnsi="Arial"/>
          <w:b/>
          <w:bCs/>
          <w:color w:val="2D6A4F"/>
          <w:sz w:val="28"/>
          <w:szCs w:val="28"/>
        </w:rPr>
        <w:t xml:space="preserve">3.1 GEO-Bench Applicability</w:t>
      </w:r>
    </w:p>
    <w:p>
      <w:pPr>
        <w:spacing w:after="200"/>
      </w:pPr>
      <w:r>
        <w:rPr>
          <w:rFonts w:ascii="Arial" w:cs="Arial" w:eastAsia="Arial" w:hAnsi="Arial"/>
          <w:sz w:val="22"/>
          <w:szCs w:val="22"/>
        </w:rPr>
        <w:t xml:space="preserve">GEO-Bench has become the standard evaluation framework for geospatial foundation models, testing image classification and semantic segmentation on satellite imagery. Leopold's relationship to GEO-Bench requires careful framing: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500"/>
        <w:gridCol w:w="6580"/>
      </w:tblGrid>
      <w:tr>
        <w:tc>
          <w:tcPr>
            <w:tcW w:type="dxa" w:w="3500"/>
            <w:tcBorders>
              <w:top w:val="single" w:color="CCCCCC" w:sz="1"/>
              <w:left w:val="single" w:color="CCCCCC" w:sz="1"/>
              <w:bottom w:val="single" w:color="CCCCCC" w:sz="1"/>
              <w:right w:val="single" w:color="CCCCCC" w:sz="1"/>
            </w:tcBorders>
            <w:shd w:fill="1F4E5F"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GEO-Bench Task Category</w:t>
            </w:r>
          </w:p>
        </w:tc>
        <w:tc>
          <w:tcPr>
            <w:tcW w:type="dxa" w:w="6580"/>
            <w:tcBorders>
              <w:top w:val="single" w:color="CCCCCC" w:sz="1"/>
              <w:left w:val="single" w:color="CCCCCC" w:sz="1"/>
              <w:bottom w:val="single" w:color="CCCCCC" w:sz="1"/>
              <w:right w:val="single" w:color="CCCCCC" w:sz="1"/>
            </w:tcBorders>
            <w:shd w:fill="1F4E5F"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Leopold Applicability</w:t>
            </w:r>
          </w:p>
        </w:tc>
      </w:tr>
      <w:tr>
        <w:tc>
          <w:tcPr>
            <w:tcW w:type="dxa" w:w="35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Land Cover Classification</w:t>
            </w:r>
          </w:p>
        </w:tc>
        <w:tc>
          <w:tcPr>
            <w:tcW w:type="dxa" w:w="65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Not directly applicable — Leopold targets species presence, not land-cover classes. However, Prithvi-derived land-cover embeddings can serve as Leopold input context.</w:t>
            </w:r>
          </w:p>
        </w:tc>
      </w:tr>
      <w:tr>
        <w:tc>
          <w:tcPr>
            <w:tcW w:type="dxa" w:w="35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Semantic Segmentation</w:t>
            </w:r>
          </w:p>
        </w:tc>
        <w:tc>
          <w:tcPr>
            <w:tcW w:type="dxa" w:w="65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Not applicable — Leopold does not perform pixel-level segmentation. Ecological State Vectors are event-level, not spatially dense.</w:t>
            </w:r>
          </w:p>
        </w:tc>
      </w:tr>
      <w:tr>
        <w:tc>
          <w:tcPr>
            <w:tcW w:type="dxa" w:w="35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Change Detection</w:t>
            </w:r>
          </w:p>
        </w:tc>
        <w:tc>
          <w:tcPr>
            <w:tcW w:type="dxa" w:w="65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Partially applicable — Leopold's temporal modeling could be evaluated on phenological change detection, though this would require custom benchmark construction.</w:t>
            </w:r>
          </w:p>
        </w:tc>
      </w:tr>
      <w:tr>
        <w:tc>
          <w:tcPr>
            <w:tcW w:type="dxa" w:w="35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Object Detection</w:t>
            </w:r>
          </w:p>
        </w:tc>
        <w:tc>
          <w:tcPr>
            <w:tcW w:type="dxa" w:w="65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Not applicable — Leopold does not perform bounding-box detection. Species presence is inferred probabilistically, not localized spatially.</w:t>
            </w:r>
          </w:p>
        </w:tc>
      </w:tr>
    </w:tbl>
    <w:p>
      <w:pPr>
        <w:spacing w:after="300"/>
      </w:pPr>
    </w:p>
    <w:p>
      <w:pPr>
        <w:pStyle w:val="Heading2"/>
        <w:spacing w:before="320" w:after="160"/>
      </w:pPr>
      <w:r>
        <w:rPr>
          <w:rFonts w:ascii="Arial" w:cs="Arial" w:eastAsia="Arial" w:hAnsi="Arial"/>
          <w:b/>
          <w:bCs/>
          <w:color w:val="2D6A4F"/>
          <w:sz w:val="28"/>
          <w:szCs w:val="28"/>
        </w:rPr>
        <w:t xml:space="preserve">3.2 Proposed Leopold-Specific Benchmarks</w:t>
      </w:r>
    </w:p>
    <w:p>
      <w:pPr>
        <w:spacing w:after="200"/>
      </w:pPr>
      <w:r>
        <w:rPr>
          <w:rFonts w:ascii="Arial" w:cs="Arial" w:eastAsia="Arial" w:hAnsi="Arial"/>
          <w:sz w:val="22"/>
          <w:szCs w:val="22"/>
        </w:rPr>
        <w:t xml:space="preserve">Given task mismatch with GEO-Bench, Leopold requires domain-appropriate evaluation. We propose:</w:t>
      </w:r>
    </w:p>
    <w:p>
      <w:pPr>
        <w:pStyle w:val="ListParagraph"/>
        <w:numPr>
          <w:ilvl w:val="0"/>
          <w:numId w:val="3"/>
        </w:numPr>
        <w:spacing w:after="120"/>
      </w:pPr>
      <w:r>
        <w:rPr>
          <w:rFonts w:ascii="Arial" w:cs="Arial" w:eastAsia="Arial" w:hAnsi="Arial"/>
          <w:b/>
          <w:bCs/>
          <w:sz w:val="22"/>
          <w:szCs w:val="22"/>
        </w:rPr>
        <w:t xml:space="preserve">Species Presence Prediction (SPP): </w:t>
      </w:r>
      <w:r>
        <w:rPr>
          <w:rFonts w:ascii="Arial" w:cs="Arial" w:eastAsia="Arial" w:hAnsi="Arial"/>
          <w:sz w:val="22"/>
          <w:szCs w:val="22"/>
        </w:rPr>
        <w:t xml:space="preserve">Given observation context (location, time, effort), predict probability distribution over species. Evaluated against held-out eBird/iNaturalist checklists.</w:t>
      </w:r>
    </w:p>
    <w:p>
      <w:pPr>
        <w:pStyle w:val="ListParagraph"/>
        <w:numPr>
          <w:ilvl w:val="0"/>
          <w:numId w:val="3"/>
        </w:numPr>
        <w:spacing w:after="120"/>
      </w:pPr>
      <w:r>
        <w:rPr>
          <w:rFonts w:ascii="Arial" w:cs="Arial" w:eastAsia="Arial" w:hAnsi="Arial"/>
          <w:b/>
          <w:bCs/>
          <w:sz w:val="22"/>
          <w:szCs w:val="22"/>
        </w:rPr>
        <w:t xml:space="preserve">Context Ablation Sensitivity (CAS): </w:t>
      </w:r>
      <w:r>
        <w:rPr>
          <w:rFonts w:ascii="Arial" w:cs="Arial" w:eastAsia="Arial" w:hAnsi="Arial"/>
          <w:sz w:val="22"/>
          <w:szCs w:val="22"/>
        </w:rPr>
        <w:t xml:space="preserve">Measure embedding stability under systematic context removal (location, season, effort). Models that don't change under ablation fail ecological validity.</w:t>
      </w:r>
    </w:p>
    <w:p>
      <w:pPr>
        <w:pStyle w:val="ListParagraph"/>
        <w:numPr>
          <w:ilvl w:val="0"/>
          <w:numId w:val="3"/>
        </w:numPr>
        <w:spacing w:after="120"/>
      </w:pPr>
      <w:r>
        <w:rPr>
          <w:rFonts w:ascii="Arial" w:cs="Arial" w:eastAsia="Arial" w:hAnsi="Arial"/>
          <w:b/>
          <w:bCs/>
          <w:sz w:val="22"/>
          <w:szCs w:val="22"/>
        </w:rPr>
        <w:t xml:space="preserve">Bias Conditioning Effectiveness (BCE): </w:t>
      </w:r>
      <w:r>
        <w:rPr>
          <w:rFonts w:ascii="Arial" w:cs="Arial" w:eastAsia="Arial" w:hAnsi="Arial"/>
          <w:sz w:val="22"/>
          <w:szCs w:val="22"/>
        </w:rPr>
        <w:t xml:space="preserve">Compare predictions with and without effort/protocol metadata on known-biased datasets. Quantify bias reduction achieved.</w:t>
      </w:r>
    </w:p>
    <w:p>
      <w:pPr>
        <w:pStyle w:val="ListParagraph"/>
        <w:numPr>
          <w:ilvl w:val="0"/>
          <w:numId w:val="3"/>
        </w:numPr>
        <w:spacing w:after="120"/>
      </w:pPr>
      <w:r>
        <w:rPr>
          <w:rFonts w:ascii="Arial" w:cs="Arial" w:eastAsia="Arial" w:hAnsi="Arial"/>
          <w:b/>
          <w:bCs/>
          <w:sz w:val="22"/>
          <w:szCs w:val="22"/>
        </w:rPr>
        <w:t xml:space="preserve">Acoustic-Visual Fusion (AVF): </w:t>
      </w:r>
      <w:r>
        <w:rPr>
          <w:rFonts w:ascii="Arial" w:cs="Arial" w:eastAsia="Arial" w:hAnsi="Arial"/>
          <w:sz w:val="22"/>
          <w:szCs w:val="22"/>
        </w:rPr>
        <w:t xml:space="preserve">Species identification accuracy when both image and audio are available vs. single modality. Validates multi-modal architecture value.</w:t>
      </w:r>
    </w:p>
    <w:p>
      <w:pPr>
        <w:pStyle w:val="ListParagraph"/>
        <w:numPr>
          <w:ilvl w:val="0"/>
          <w:numId w:val="3"/>
        </w:numPr>
        <w:spacing w:after="200"/>
      </w:pPr>
      <w:r>
        <w:rPr>
          <w:rFonts w:ascii="Arial" w:cs="Arial" w:eastAsia="Arial" w:hAnsi="Arial"/>
          <w:b/>
          <w:bCs/>
          <w:sz w:val="22"/>
          <w:szCs w:val="22"/>
        </w:rPr>
        <w:t xml:space="preserve">Rare Species Tail Performance (RSTP): </w:t>
      </w:r>
      <w:r>
        <w:rPr>
          <w:rFonts w:ascii="Arial" w:cs="Arial" w:eastAsia="Arial" w:hAnsi="Arial"/>
          <w:sz w:val="22"/>
          <w:szCs w:val="22"/>
        </w:rPr>
        <w:t xml:space="preserve">Specific evaluation on species with &lt;100 observations in training data. Tests collapse resistance in distribution tails.</w:t>
      </w:r>
    </w:p>
    <w:p>
      <w:r>
        <w:br w:type="page"/>
      </w:r>
    </w:p>
    <w:p>
      <w:pPr>
        <w:pStyle w:val="Heading1"/>
        <w:spacing w:before="400" w:after="200"/>
      </w:pPr>
      <w:r>
        <w:rPr>
          <w:rFonts w:ascii="Arial" w:cs="Arial" w:eastAsia="Arial" w:hAnsi="Arial"/>
          <w:b/>
          <w:bCs/>
          <w:color w:val="1F4E5F"/>
          <w:sz w:val="36"/>
          <w:szCs w:val="36"/>
        </w:rPr>
        <w:t xml:space="preserve">4. Competitive Risk Assessment</w:t>
      </w:r>
    </w:p>
    <w:p>
      <w:pPr>
        <w:spacing w:after="200"/>
      </w:pPr>
      <w:r>
        <w:rPr>
          <w:rFonts w:ascii="Arial" w:cs="Arial" w:eastAsia="Arial" w:hAnsi="Arial"/>
          <w:sz w:val="22"/>
          <w:szCs w:val="22"/>
        </w:rPr>
        <w:t xml:space="preserve">Honest positioning requires acknowledging risks. The following matrix maps competitive threats and mitigations: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00"/>
        <w:gridCol w:w="2700"/>
        <w:gridCol w:w="2500"/>
        <w:gridCol w:w="2380"/>
      </w:tblGrid>
      <w:tr>
        <w:tc>
          <w:tcPr>
            <w:tcW w:type="dxa" w:w="2500"/>
            <w:tcBorders>
              <w:top w:val="single" w:color="CCCCCC" w:sz="1"/>
              <w:left w:val="single" w:color="CCCCCC" w:sz="1"/>
              <w:bottom w:val="single" w:color="CCCCCC" w:sz="1"/>
              <w:right w:val="single" w:color="CCCCCC" w:sz="1"/>
            </w:tcBorders>
            <w:shd w:fill="1F4E5F"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Risk</w:t>
            </w:r>
          </w:p>
        </w:tc>
        <w:tc>
          <w:tcPr>
            <w:tcW w:type="dxa" w:w="2700"/>
            <w:tcBorders>
              <w:top w:val="single" w:color="CCCCCC" w:sz="1"/>
              <w:left w:val="single" w:color="CCCCCC" w:sz="1"/>
              <w:bottom w:val="single" w:color="CCCCCC" w:sz="1"/>
              <w:right w:val="single" w:color="CCCCCC" w:sz="1"/>
            </w:tcBorders>
            <w:shd w:fill="1F4E5F"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Description</w:t>
            </w:r>
          </w:p>
        </w:tc>
        <w:tc>
          <w:tcPr>
            <w:tcW w:type="dxa" w:w="2500"/>
            <w:tcBorders>
              <w:top w:val="single" w:color="CCCCCC" w:sz="1"/>
              <w:left w:val="single" w:color="CCCCCC" w:sz="1"/>
              <w:bottom w:val="single" w:color="CCCCCC" w:sz="1"/>
              <w:right w:val="single" w:color="CCCCCC" w:sz="1"/>
            </w:tcBorders>
            <w:shd w:fill="1F4E5F"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Probability</w:t>
            </w:r>
          </w:p>
        </w:tc>
        <w:tc>
          <w:tcPr>
            <w:tcW w:type="dxa" w:w="2380"/>
            <w:tcBorders>
              <w:top w:val="single" w:color="CCCCCC" w:sz="1"/>
              <w:left w:val="single" w:color="CCCCCC" w:sz="1"/>
              <w:bottom w:val="single" w:color="CCCCCC" w:sz="1"/>
              <w:right w:val="single" w:color="CCCCCC" w:sz="1"/>
            </w:tcBorders>
            <w:shd w:fill="1F4E5F"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Mitigation</w:t>
            </w:r>
          </w:p>
        </w:tc>
      </w:tr>
      <w:tr>
        <w:tc>
          <w:tcPr>
            <w:tcW w:type="dxa" w:w="25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Prithvi adds ecology tasks</w:t>
            </w:r>
          </w:p>
        </w:tc>
        <w:tc>
          <w:tcPr>
            <w:tcW w:type="dxa" w:w="27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NASA/IBM extends Prithvi to species-level prediction, obsoleting Leopold's niche.</w:t>
            </w:r>
          </w:p>
        </w:tc>
        <w:tc>
          <w:tcPr>
            <w:tcW w:type="dxa" w:w="2500"/>
            <w:tcBorders>
              <w:top w:val="single" w:color="CCCCCC" w:sz="1"/>
              <w:left w:val="single" w:color="CCCCCC" w:sz="1"/>
              <w:bottom w:val="single" w:color="CCCCCC" w:sz="1"/>
              <w:right w:val="single" w:color="CCCCCC" w:sz="1"/>
            </w:tcBorders>
            <w:shd w:fill="FFEB9C" w:val="clear"/>
            <w:tcMar>
              <w:top w:type="dxa" w:w="80"/>
              <w:left w:type="dxa" w:w="120"/>
              <w:bottom w:type="dxa" w:w="80"/>
              <w:right w:type="dxa" w:w="120"/>
            </w:tcMar>
          </w:tcPr>
          <w:p>
            <w:r>
              <w:rPr>
                <w:rFonts w:ascii="Arial" w:cs="Arial" w:eastAsia="Arial" w:hAnsi="Arial"/>
                <w:sz w:val="18"/>
                <w:szCs w:val="18"/>
              </w:rPr>
              <w:t xml:space="preserve">Low-Medium: Would require citizen-science data partnerships and acoustic architecture changes</w:t>
            </w:r>
          </w:p>
        </w:tc>
        <w:tc>
          <w:tcPr>
            <w:tcW w:type="dxa" w:w="23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Maintain complementary positioning; pursue integration rather than competition</w:t>
            </w:r>
          </w:p>
        </w:tc>
      </w:tr>
      <w:tr>
        <w:tc>
          <w:tcPr>
            <w:tcW w:type="dxa" w:w="25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eBird builds own AI</w:t>
            </w:r>
          </w:p>
        </w:tc>
        <w:tc>
          <w:tcPr>
            <w:tcW w:type="dxa" w:w="27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Cornell Lab develops internal species prediction model with proprietary data access.</w:t>
            </w:r>
          </w:p>
        </w:tc>
        <w:tc>
          <w:tcPr>
            <w:tcW w:type="dxa" w:w="2500"/>
            <w:tcBorders>
              <w:top w:val="single" w:color="CCCCCC" w:sz="1"/>
              <w:left w:val="single" w:color="CCCCCC" w:sz="1"/>
              <w:bottom w:val="single" w:color="CCCCCC" w:sz="1"/>
              <w:right w:val="single" w:color="CCCCCC" w:sz="1"/>
            </w:tcBorders>
            <w:shd w:fill="FFEB9C" w:val="clear"/>
            <w:tcMar>
              <w:top w:type="dxa" w:w="80"/>
              <w:left w:type="dxa" w:w="120"/>
              <w:bottom w:type="dxa" w:w="80"/>
              <w:right w:type="dxa" w:w="120"/>
            </w:tcMar>
          </w:tcPr>
          <w:p>
            <w:r>
              <w:rPr>
                <w:rFonts w:ascii="Arial" w:cs="Arial" w:eastAsia="Arial" w:hAnsi="Arial"/>
                <w:sz w:val="18"/>
                <w:szCs w:val="18"/>
              </w:rPr>
              <w:t xml:space="preserve">Medium: Cornell has resources and data but different organizational priorities</w:t>
            </w:r>
          </w:p>
        </w:tc>
        <w:tc>
          <w:tcPr>
            <w:tcW w:type="dxa" w:w="23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Offer Leopold as open infrastructure; pursue partnership rather than parallel development</w:t>
            </w:r>
          </w:p>
        </w:tc>
      </w:tr>
      <w:tr>
        <w:tc>
          <w:tcPr>
            <w:tcW w:type="dxa" w:w="25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JEPA superseded</w:t>
            </w:r>
          </w:p>
        </w:tc>
        <w:tc>
          <w:tcPr>
            <w:tcW w:type="dxa" w:w="27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New architecture emerges that outperforms JEPA for ecological tasks.</w:t>
            </w:r>
          </w:p>
        </w:tc>
        <w:tc>
          <w:tcPr>
            <w:tcW w:type="dxa" w:w="2500"/>
            <w:tcBorders>
              <w:top w:val="single" w:color="CCCCCC" w:sz="1"/>
              <w:left w:val="single" w:color="CCCCCC" w:sz="1"/>
              <w:bottom w:val="single" w:color="CCCCCC" w:sz="1"/>
              <w:right w:val="single" w:color="CCCCCC" w:sz="1"/>
            </w:tcBorders>
            <w:shd w:fill="C6EFCE" w:val="clear"/>
            <w:tcMar>
              <w:top w:type="dxa" w:w="80"/>
              <w:left w:type="dxa" w:w="120"/>
              <w:bottom w:type="dxa" w:w="80"/>
              <w:right w:type="dxa" w:w="120"/>
            </w:tcMar>
          </w:tcPr>
          <w:p>
            <w:r>
              <w:rPr>
                <w:rFonts w:ascii="Arial" w:cs="Arial" w:eastAsia="Arial" w:hAnsi="Arial"/>
                <w:sz w:val="18"/>
                <w:szCs w:val="18"/>
              </w:rPr>
              <w:t xml:space="preserve">Low: JEPA principles are architectural, not implementation-specific</w:t>
            </w:r>
          </w:p>
        </w:tc>
        <w:tc>
          <w:tcPr>
            <w:tcW w:type="dxa" w:w="23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Modular design allows encoder replacement without contract changes</w:t>
            </w:r>
          </w:p>
        </w:tc>
      </w:tr>
      <w:tr>
        <w:tc>
          <w:tcPr>
            <w:tcW w:type="dxa" w:w="25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Resource asymmetry</w:t>
            </w:r>
          </w:p>
        </w:tc>
        <w:tc>
          <w:tcPr>
            <w:tcW w:type="dxa" w:w="27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Cannot compete with Prithvi's 600M parameters and supercomputer training.</w:t>
            </w:r>
          </w:p>
        </w:tc>
        <w:tc>
          <w:tcPr>
            <w:tcW w:type="dxa" w:w="2500"/>
            <w:tcBorders>
              <w:top w:val="single" w:color="CCCCCC" w:sz="1"/>
              <w:left w:val="single" w:color="CCCCCC" w:sz="1"/>
              <w:bottom w:val="single" w:color="CCCCCC" w:sz="1"/>
              <w:right w:val="single" w:color="CCCCCC" w:sz="1"/>
            </w:tcBorders>
            <w:shd w:fill="FFEB9C" w:val="clear"/>
            <w:tcMar>
              <w:top w:type="dxa" w:w="80"/>
              <w:left w:type="dxa" w:w="120"/>
              <w:bottom w:type="dxa" w:w="80"/>
              <w:right w:type="dxa" w:w="120"/>
            </w:tcMar>
          </w:tcPr>
          <w:p>
            <w:r>
              <w:rPr>
                <w:rFonts w:ascii="Arial" w:cs="Arial" w:eastAsia="Arial" w:hAnsi="Arial"/>
                <w:sz w:val="18"/>
                <w:szCs w:val="18"/>
              </w:rPr>
              <w:t xml:space="preserve">High: Fundamental resource constraint</w:t>
            </w:r>
          </w:p>
        </w:tc>
        <w:tc>
          <w:tcPr>
            <w:tcW w:type="dxa" w:w="23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Compete on domain specificity, not scale; validate efficiency claims empirically</w:t>
            </w:r>
          </w:p>
        </w:tc>
      </w:tr>
      <w:tr>
        <w:tc>
          <w:tcPr>
            <w:tcW w:type="dxa" w:w="25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Benchmark exclusion</w:t>
            </w:r>
          </w:p>
        </w:tc>
        <w:tc>
          <w:tcPr>
            <w:tcW w:type="dxa" w:w="27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Reviewers reject proposal for lack of GEO-Bench scores.</w:t>
            </w:r>
          </w:p>
        </w:tc>
        <w:tc>
          <w:tcPr>
            <w:tcW w:type="dxa" w:w="2500"/>
            <w:tcBorders>
              <w:top w:val="single" w:color="CCCCCC" w:sz="1"/>
              <w:left w:val="single" w:color="CCCCCC" w:sz="1"/>
              <w:bottom w:val="single" w:color="CCCCCC" w:sz="1"/>
              <w:right w:val="single" w:color="CCCCCC" w:sz="1"/>
            </w:tcBorders>
            <w:shd w:fill="FFEB9C" w:val="clear"/>
            <w:tcMar>
              <w:top w:type="dxa" w:w="80"/>
              <w:left w:type="dxa" w:w="120"/>
              <w:bottom w:type="dxa" w:w="80"/>
              <w:right w:type="dxa" w:w="120"/>
            </w:tcMar>
          </w:tcPr>
          <w:p>
            <w:r>
              <w:rPr>
                <w:rFonts w:ascii="Arial" w:cs="Arial" w:eastAsia="Arial" w:hAnsi="Arial"/>
                <w:sz w:val="18"/>
                <w:szCs w:val="18"/>
              </w:rPr>
              <w:t xml:space="preserve">Medium: Standard benchmark expectation exists</w:t>
            </w:r>
          </w:p>
        </w:tc>
        <w:tc>
          <w:tcPr>
            <w:tcW w:type="dxa" w:w="23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Provide explicit task-mismatch rationale; propose domain-specific benchmarks</w:t>
            </w:r>
          </w:p>
        </w:tc>
      </w:tr>
    </w:tbl>
    <w:p>
      <w:pPr>
        <w:spacing w:after="400"/>
      </w:pPr>
    </w:p>
    <w:p>
      <w:pPr>
        <w:pStyle w:val="Heading1"/>
        <w:spacing w:before="400" w:after="200"/>
      </w:pPr>
      <w:r>
        <w:rPr>
          <w:rFonts w:ascii="Arial" w:cs="Arial" w:eastAsia="Arial" w:hAnsi="Arial"/>
          <w:b/>
          <w:bCs/>
          <w:color w:val="1F4E5F"/>
          <w:sz w:val="36"/>
          <w:szCs w:val="36"/>
        </w:rPr>
        <w:t xml:space="preserve">5. Integration Architecture</w:t>
      </w:r>
    </w:p>
    <w:p>
      <w:pPr>
        <w:spacing w:after="200"/>
      </w:pPr>
      <w:r>
        <w:rPr>
          <w:rFonts w:ascii="Arial" w:cs="Arial" w:eastAsia="Arial" w:hAnsi="Arial"/>
          <w:sz w:val="22"/>
          <w:szCs w:val="22"/>
        </w:rPr>
        <w:t xml:space="preserve">Leopold is designed for integration with, not replacement of, existing geospatial foundation models. The following architecture shows how Prithvi-derived context flows into Leopold's ecological inference:</w:t>
      </w:r>
    </w:p>
    <w:p>
      <w:pPr>
        <w:pStyle w:val="Heading2"/>
        <w:spacing w:before="320" w:after="160"/>
      </w:pPr>
      <w:r>
        <w:rPr>
          <w:rFonts w:ascii="Arial" w:cs="Arial" w:eastAsia="Arial" w:hAnsi="Arial"/>
          <w:b/>
          <w:bCs/>
          <w:color w:val="2D6A4F"/>
          <w:sz w:val="28"/>
          <w:szCs w:val="28"/>
        </w:rPr>
        <w:t xml:space="preserve">5.1 Upstream Integration (Prithvi → Leopold)</w:t>
      </w:r>
    </w:p>
    <w:p>
      <w:pPr>
        <w:pStyle w:val="ListParagraph"/>
        <w:numPr>
          <w:ilvl w:val="0"/>
          <w:numId w:val="2"/>
        </w:numPr>
        <w:spacing w:after="120"/>
      </w:pPr>
      <w:r>
        <w:rPr>
          <w:rFonts w:ascii="Arial" w:cs="Arial" w:eastAsia="Arial" w:hAnsi="Arial"/>
          <w:b/>
          <w:bCs/>
          <w:sz w:val="22"/>
          <w:szCs w:val="22"/>
        </w:rPr>
        <w:t xml:space="preserve">Habitat Context Embeddings: </w:t>
      </w:r>
      <w:r>
        <w:rPr>
          <w:rFonts w:ascii="Arial" w:cs="Arial" w:eastAsia="Arial" w:hAnsi="Arial"/>
          <w:sz w:val="22"/>
          <w:szCs w:val="22"/>
        </w:rPr>
        <w:t xml:space="preserve">Prithvi's land-cover classifications (forest, wetland, urban) become categorical context tokens for Leopold's species predictions.</w:t>
      </w:r>
    </w:p>
    <w:p>
      <w:pPr>
        <w:pStyle w:val="ListParagraph"/>
        <w:numPr>
          <w:ilvl w:val="0"/>
          <w:numId w:val="2"/>
        </w:numPr>
        <w:spacing w:after="120"/>
      </w:pPr>
      <w:r>
        <w:rPr>
          <w:rFonts w:ascii="Arial" w:cs="Arial" w:eastAsia="Arial" w:hAnsi="Arial"/>
          <w:b/>
          <w:bCs/>
          <w:sz w:val="22"/>
          <w:szCs w:val="22"/>
        </w:rPr>
        <w:t xml:space="preserve">Seasonal Phenology: </w:t>
      </w:r>
      <w:r>
        <w:rPr>
          <w:rFonts w:ascii="Arial" w:cs="Arial" w:eastAsia="Arial" w:hAnsi="Arial"/>
          <w:sz w:val="22"/>
          <w:szCs w:val="22"/>
        </w:rPr>
        <w:t xml:space="preserve">Prithvi's multi-temporal capabilities provide vegetation phenology context (green-up, senescence) that conditions Leopold's seasonal species models.</w:t>
      </w:r>
    </w:p>
    <w:p>
      <w:pPr>
        <w:pStyle w:val="ListParagraph"/>
        <w:numPr>
          <w:ilvl w:val="0"/>
          <w:numId w:val="2"/>
        </w:numPr>
        <w:spacing w:after="200"/>
      </w:pPr>
      <w:r>
        <w:rPr>
          <w:rFonts w:ascii="Arial" w:cs="Arial" w:eastAsia="Arial" w:hAnsi="Arial"/>
          <w:b/>
          <w:bCs/>
          <w:sz w:val="22"/>
          <w:szCs w:val="22"/>
        </w:rPr>
        <w:t xml:space="preserve">Disturbance Detection: </w:t>
      </w:r>
      <w:r>
        <w:rPr>
          <w:rFonts w:ascii="Arial" w:cs="Arial" w:eastAsia="Arial" w:hAnsi="Arial"/>
          <w:sz w:val="22"/>
          <w:szCs w:val="22"/>
        </w:rPr>
        <w:t xml:space="preserve">Prithvi's burn scar and flood mapping inform Leopold's habitat suitability priors—species predictions adjust when habitat has been recently disturbed.</w:t>
      </w:r>
    </w:p>
    <w:p>
      <w:pPr>
        <w:pStyle w:val="Heading2"/>
        <w:spacing w:before="320" w:after="160"/>
      </w:pPr>
      <w:r>
        <w:rPr>
          <w:rFonts w:ascii="Arial" w:cs="Arial" w:eastAsia="Arial" w:hAnsi="Arial"/>
          <w:b/>
          <w:bCs/>
          <w:color w:val="2D6A4F"/>
          <w:sz w:val="28"/>
          <w:szCs w:val="28"/>
        </w:rPr>
        <w:t xml:space="preserve">5.2 Downstream Integration (Leopold → Applications)</w:t>
      </w:r>
    </w:p>
    <w:p>
      <w:pPr>
        <w:pStyle w:val="ListParagraph"/>
        <w:numPr>
          <w:ilvl w:val="0"/>
          <w:numId w:val="2"/>
        </w:numPr>
        <w:spacing w:after="120"/>
      </w:pPr>
      <w:r>
        <w:rPr>
          <w:rFonts w:ascii="Arial" w:cs="Arial" w:eastAsia="Arial" w:hAnsi="Arial"/>
          <w:b/>
          <w:bCs/>
          <w:sz w:val="22"/>
          <w:szCs w:val="22"/>
        </w:rPr>
        <w:t xml:space="preserve">Conservation Decision Support: </w:t>
      </w:r>
      <w:r>
        <w:rPr>
          <w:rFonts w:ascii="Arial" w:cs="Arial" w:eastAsia="Arial" w:hAnsi="Arial"/>
          <w:sz w:val="22"/>
          <w:szCs w:val="22"/>
        </w:rPr>
        <w:t xml:space="preserve">Ecological State Vectors feed directly into protected area planning, species-at-risk monitoring, and environmental impact assessment.</w:t>
      </w:r>
    </w:p>
    <w:p>
      <w:pPr>
        <w:pStyle w:val="ListParagraph"/>
        <w:numPr>
          <w:ilvl w:val="0"/>
          <w:numId w:val="2"/>
        </w:numPr>
        <w:spacing w:after="120"/>
      </w:pPr>
      <w:r>
        <w:rPr>
          <w:rFonts w:ascii="Arial" w:cs="Arial" w:eastAsia="Arial" w:hAnsi="Arial"/>
          <w:b/>
          <w:bCs/>
          <w:sz w:val="22"/>
          <w:szCs w:val="22"/>
        </w:rPr>
        <w:t xml:space="preserve">Citizen Science Feedback: </w:t>
      </w:r>
      <w:r>
        <w:rPr>
          <w:rFonts w:ascii="Arial" w:cs="Arial" w:eastAsia="Arial" w:hAnsi="Arial"/>
          <w:sz w:val="22"/>
          <w:szCs w:val="22"/>
        </w:rPr>
        <w:t xml:space="preserve">Leopold predictions can guide targeted survey efforts—directing observers to locations/times where rare species are predicted but under-sampled.</w:t>
      </w:r>
    </w:p>
    <w:p>
      <w:pPr>
        <w:pStyle w:val="ListParagraph"/>
        <w:numPr>
          <w:ilvl w:val="0"/>
          <w:numId w:val="2"/>
        </w:numPr>
        <w:spacing w:after="200"/>
      </w:pPr>
      <w:r>
        <w:rPr>
          <w:rFonts w:ascii="Arial" w:cs="Arial" w:eastAsia="Arial" w:hAnsi="Arial"/>
          <w:b/>
          <w:bCs/>
          <w:sz w:val="22"/>
          <w:szCs w:val="22"/>
        </w:rPr>
        <w:t xml:space="preserve">Historical Reconstruction (Livy Integration): </w:t>
      </w:r>
      <w:r>
        <w:rPr>
          <w:rFonts w:ascii="Arial" w:cs="Arial" w:eastAsia="Arial" w:hAnsi="Arial"/>
          <w:sz w:val="22"/>
          <w:szCs w:val="22"/>
        </w:rPr>
        <w:t xml:space="preserve">Leopold's ecological present connects to Global Heritage AI's planned historical reconstruction engine, enabling location stories that span ecological and cultural timelines.</w:t>
      </w:r>
    </w:p>
    <w:p>
      <w:r>
        <w:br w:type="page"/>
      </w:r>
    </w:p>
    <w:p>
      <w:pPr>
        <w:pStyle w:val="Heading1"/>
        <w:spacing w:before="400" w:after="200"/>
      </w:pPr>
      <w:r>
        <w:rPr>
          <w:rFonts w:ascii="Arial" w:cs="Arial" w:eastAsia="Arial" w:hAnsi="Arial"/>
          <w:b/>
          <w:bCs/>
          <w:color w:val="1F4E5F"/>
          <w:sz w:val="36"/>
          <w:szCs w:val="36"/>
        </w:rPr>
        <w:t xml:space="preserve">6. Anticipated Reviewer Questions</w:t>
      </w:r>
    </w:p>
    <w:p>
      <w:pPr>
        <w:spacing w:after="200"/>
      </w:pPr>
      <w:r>
        <w:rPr>
          <w:rFonts w:ascii="Arial" w:cs="Arial" w:eastAsia="Arial" w:hAnsi="Arial"/>
          <w:sz w:val="22"/>
          <w:szCs w:val="22"/>
        </w:rPr>
        <w:t xml:space="preserve">Based on the competitive landscape analysis, we anticipate the following questions and provide pre-emptive responses: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CCCCCC" w:sz="1"/>
              <w:left w:val="single" w:color="CCCCCC" w:sz="1"/>
              <w:bottom w:val="single" w:color="CCCCCC" w:sz="1"/>
              <w:right w:val="single" w:color="CCCCCC" w:sz="1"/>
            </w:tcBorders>
            <w:shd w:fill="D8F3DC" w:val="clear"/>
            <w:tcMar>
              <w:top w:type="dxa" w:w="120"/>
              <w:left w:type="dxa" w:w="200"/>
              <w:bottom w:type="dxa" w:w="120"/>
              <w:right w:type="dxa" w:w="200"/>
            </w:tcMar>
          </w:tcPr>
          <w:p>
            <w:r>
              <w:rPr>
                <w:rFonts w:ascii="Arial" w:cs="Arial" w:eastAsia="Arial" w:hAnsi="Arial"/>
                <w:b/>
                <w:bCs/>
                <w:i/>
                <w:iCs/>
                <w:sz w:val="22"/>
                <w:szCs w:val="22"/>
              </w:rPr>
              <w:t xml:space="preserve">Q: Why not use Prithvi-EO-2.0 and fine-tune for ecological tasks?</w:t>
            </w:r>
          </w:p>
        </w:tc>
      </w:tr>
      <w:tr>
        <w:tc>
          <w:tcPr>
            <w:tcW w:type="dxa" w:w="10080"/>
            <w:tcBorders>
              <w:top w:val="single" w:color="CCCCCC" w:sz="1"/>
              <w:left w:val="single" w:color="CCCCCC" w:sz="1"/>
              <w:bottom w:val="single" w:color="CCCCCC" w:sz="1"/>
              <w:right w:val="single" w:color="CCCCCC" w:sz="1"/>
            </w:tcBorders>
            <w:tcMar>
              <w:top w:type="dxa" w:w="120"/>
              <w:left w:type="dxa" w:w="200"/>
              <w:bottom w:type="dxa" w:w="120"/>
              <w:right w:type="dxa" w:w="200"/>
            </w:tcMar>
          </w:tcPr>
          <w:p>
            <w:r>
              <w:rPr>
                <w:rFonts w:ascii="Arial" w:cs="Arial" w:eastAsia="Arial" w:hAnsi="Arial"/>
                <w:b/>
                <w:bCs/>
                <w:sz w:val="22"/>
                <w:szCs w:val="22"/>
              </w:rPr>
              <w:t xml:space="preserve">A: </w:t>
            </w:r>
            <w:r>
              <w:rPr>
                <w:rFonts w:ascii="Arial" w:cs="Arial" w:eastAsia="Arial" w:hAnsi="Arial"/>
                <w:sz w:val="22"/>
                <w:szCs w:val="22"/>
              </w:rPr>
              <w:t xml:space="preserve">Prithvi predicts land-cover from satellite pixels; Leopold predicts species presence from observation events. These require different architectures, data contracts, and modalities. Leopold can consume Prithvi outputs as upstream context while focusing on ecological inference that Prithvi's architecture cannot support (acoustic data, bias conditioning, species-level labels).</w:t>
            </w:r>
          </w:p>
        </w:tc>
      </w:tr>
    </w:tbl>
    <w:p>
      <w:pPr>
        <w:spacing w:after="2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CCCCCC" w:sz="1"/>
              <w:left w:val="single" w:color="CCCCCC" w:sz="1"/>
              <w:bottom w:val="single" w:color="CCCCCC" w:sz="1"/>
              <w:right w:val="single" w:color="CCCCCC" w:sz="1"/>
            </w:tcBorders>
            <w:shd w:fill="D8F3DC" w:val="clear"/>
            <w:tcMar>
              <w:top w:type="dxa" w:w="120"/>
              <w:left w:type="dxa" w:w="200"/>
              <w:bottom w:type="dxa" w:w="120"/>
              <w:right w:type="dxa" w:w="200"/>
            </w:tcMar>
          </w:tcPr>
          <w:p>
            <w:r>
              <w:rPr>
                <w:rFonts w:ascii="Arial" w:cs="Arial" w:eastAsia="Arial" w:hAnsi="Arial"/>
                <w:b/>
                <w:bCs/>
                <w:i/>
                <w:iCs/>
                <w:sz w:val="22"/>
                <w:szCs w:val="22"/>
              </w:rPr>
              <w:t xml:space="preserve">Q: How will you evaluate without GEO-Bench compatibility?</w:t>
            </w:r>
          </w:p>
        </w:tc>
      </w:tr>
      <w:tr>
        <w:tc>
          <w:tcPr>
            <w:tcW w:type="dxa" w:w="10080"/>
            <w:tcBorders>
              <w:top w:val="single" w:color="CCCCCC" w:sz="1"/>
              <w:left w:val="single" w:color="CCCCCC" w:sz="1"/>
              <w:bottom w:val="single" w:color="CCCCCC" w:sz="1"/>
              <w:right w:val="single" w:color="CCCCCC" w:sz="1"/>
            </w:tcBorders>
            <w:tcMar>
              <w:top w:type="dxa" w:w="120"/>
              <w:left w:type="dxa" w:w="200"/>
              <w:bottom w:type="dxa" w:w="120"/>
              <w:right w:type="dxa" w:w="200"/>
            </w:tcMar>
          </w:tcPr>
          <w:p>
            <w:r>
              <w:rPr>
                <w:rFonts w:ascii="Arial" w:cs="Arial" w:eastAsia="Arial" w:hAnsi="Arial"/>
                <w:b/>
                <w:bCs/>
                <w:sz w:val="22"/>
                <w:szCs w:val="22"/>
              </w:rPr>
              <w:t xml:space="preserve">A: </w:t>
            </w:r>
            <w:r>
              <w:rPr>
                <w:rFonts w:ascii="Arial" w:cs="Arial" w:eastAsia="Arial" w:hAnsi="Arial"/>
                <w:sz w:val="22"/>
                <w:szCs w:val="22"/>
              </w:rPr>
              <w:t xml:space="preserve">GEO-Bench tasks (land-cover classification, semantic segmentation) do not match Leopold's inference target (species-level ecological state). We propose domain-appropriate benchmarks: Species Presence Prediction, Context Ablation Sensitivity, Bias Conditioning Effectiveness, and Rare Species Tail Performance. These enable rigorous evaluation while respecting task differences.</w:t>
            </w:r>
          </w:p>
        </w:tc>
      </w:tr>
    </w:tbl>
    <w:p>
      <w:pPr>
        <w:spacing w:after="2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CCCCCC" w:sz="1"/>
              <w:left w:val="single" w:color="CCCCCC" w:sz="1"/>
              <w:bottom w:val="single" w:color="CCCCCC" w:sz="1"/>
              <w:right w:val="single" w:color="CCCCCC" w:sz="1"/>
            </w:tcBorders>
            <w:shd w:fill="D8F3DC" w:val="clear"/>
            <w:tcMar>
              <w:top w:type="dxa" w:w="120"/>
              <w:left w:type="dxa" w:w="200"/>
              <w:bottom w:type="dxa" w:w="120"/>
              <w:right w:type="dxa" w:w="200"/>
            </w:tcMar>
          </w:tcPr>
          <w:p>
            <w:r>
              <w:rPr>
                <w:rFonts w:ascii="Arial" w:cs="Arial" w:eastAsia="Arial" w:hAnsi="Arial"/>
                <w:b/>
                <w:bCs/>
                <w:i/>
                <w:iCs/>
                <w:sz w:val="22"/>
                <w:szCs w:val="22"/>
              </w:rPr>
              <w:t xml:space="preserve">Q: Can Leopold compete with 600M-parameter models on limited resources?</w:t>
            </w:r>
          </w:p>
        </w:tc>
      </w:tr>
      <w:tr>
        <w:tc>
          <w:tcPr>
            <w:tcW w:type="dxa" w:w="10080"/>
            <w:tcBorders>
              <w:top w:val="single" w:color="CCCCCC" w:sz="1"/>
              <w:left w:val="single" w:color="CCCCCC" w:sz="1"/>
              <w:bottom w:val="single" w:color="CCCCCC" w:sz="1"/>
              <w:right w:val="single" w:color="CCCCCC" w:sz="1"/>
            </w:tcBorders>
            <w:tcMar>
              <w:top w:type="dxa" w:w="120"/>
              <w:left w:type="dxa" w:w="200"/>
              <w:bottom w:type="dxa" w:w="120"/>
              <w:right w:type="dxa" w:w="200"/>
            </w:tcMar>
          </w:tcPr>
          <w:p>
            <w:r>
              <w:rPr>
                <w:rFonts w:ascii="Arial" w:cs="Arial" w:eastAsia="Arial" w:hAnsi="Arial"/>
                <w:b/>
                <w:bCs/>
                <w:sz w:val="22"/>
                <w:szCs w:val="22"/>
              </w:rPr>
              <w:t xml:space="preserve">A: </w:t>
            </w:r>
            <w:r>
              <w:rPr>
                <w:rFonts w:ascii="Arial" w:cs="Arial" w:eastAsia="Arial" w:hAnsi="Arial"/>
                <w:sz w:val="22"/>
                <w:szCs w:val="22"/>
              </w:rPr>
              <w:t xml:space="preserve">Leopold does not compete on scale; it competes on domain specificity. JEPA's efficiency advantages (predicting embeddings vs. reconstructing pixels) combined with strong inductive constraints (geo-temporal conditioning, effort metadata) should enable effective learning with smaller parameter counts. This hypothesis will be validated empirically.</w:t>
            </w:r>
          </w:p>
        </w:tc>
      </w:tr>
    </w:tbl>
    <w:p>
      <w:pPr>
        <w:spacing w:after="2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CCCCCC" w:sz="1"/>
              <w:left w:val="single" w:color="CCCCCC" w:sz="1"/>
              <w:bottom w:val="single" w:color="CCCCCC" w:sz="1"/>
              <w:right w:val="single" w:color="CCCCCC" w:sz="1"/>
            </w:tcBorders>
            <w:shd w:fill="D8F3DC" w:val="clear"/>
            <w:tcMar>
              <w:top w:type="dxa" w:w="120"/>
              <w:left w:type="dxa" w:w="200"/>
              <w:bottom w:type="dxa" w:w="120"/>
              <w:right w:type="dxa" w:w="200"/>
            </w:tcMar>
          </w:tcPr>
          <w:p>
            <w:r>
              <w:rPr>
                <w:rFonts w:ascii="Arial" w:cs="Arial" w:eastAsia="Arial" w:hAnsi="Arial"/>
                <w:b/>
                <w:bCs/>
                <w:i/>
                <w:iCs/>
                <w:sz w:val="22"/>
                <w:szCs w:val="22"/>
              </w:rPr>
              <w:t xml:space="preserve">Q: What happens if Prithvi adds ecological capabilities?</w:t>
            </w:r>
          </w:p>
        </w:tc>
      </w:tr>
      <w:tr>
        <w:tc>
          <w:tcPr>
            <w:tcW w:type="dxa" w:w="10080"/>
            <w:tcBorders>
              <w:top w:val="single" w:color="CCCCCC" w:sz="1"/>
              <w:left w:val="single" w:color="CCCCCC" w:sz="1"/>
              <w:bottom w:val="single" w:color="CCCCCC" w:sz="1"/>
              <w:right w:val="single" w:color="CCCCCC" w:sz="1"/>
            </w:tcBorders>
            <w:tcMar>
              <w:top w:type="dxa" w:w="120"/>
              <w:left w:type="dxa" w:w="200"/>
              <w:bottom w:type="dxa" w:w="120"/>
              <w:right w:type="dxa" w:w="200"/>
            </w:tcMar>
          </w:tcPr>
          <w:p>
            <w:r>
              <w:rPr>
                <w:rFonts w:ascii="Arial" w:cs="Arial" w:eastAsia="Arial" w:hAnsi="Arial"/>
                <w:b/>
                <w:bCs/>
                <w:sz w:val="22"/>
                <w:szCs w:val="22"/>
              </w:rPr>
              <w:t xml:space="preserve">A: </w:t>
            </w:r>
            <w:r>
              <w:rPr>
                <w:rFonts w:ascii="Arial" w:cs="Arial" w:eastAsia="Arial" w:hAnsi="Arial"/>
                <w:sz w:val="22"/>
                <w:szCs w:val="22"/>
              </w:rPr>
              <w:t xml:space="preserve">We welcome this development. Leopold's value proposition is not in preventing others from working on ecology—it's in providing an open, auditable, citizen-science-native architecture specifically designed for species-level inference. If Prithvi extends to ecological tasks, Leopold can integrate those capabilities while maintaining its provenance and bias-conditioning advantages.</w:t>
            </w:r>
          </w:p>
        </w:tc>
      </w:tr>
    </w:tbl>
    <w:p>
      <w:r>
        <w:br w:type="page"/>
      </w:r>
    </w:p>
    <w:p>
      <w:pPr>
        <w:pStyle w:val="Heading1"/>
        <w:spacing w:before="400" w:after="200"/>
      </w:pPr>
      <w:r>
        <w:rPr>
          <w:rFonts w:ascii="Arial" w:cs="Arial" w:eastAsia="Arial" w:hAnsi="Arial"/>
          <w:b/>
          <w:bCs/>
          <w:color w:val="1F4E5F"/>
          <w:sz w:val="36"/>
          <w:szCs w:val="36"/>
        </w:rPr>
        <w:t xml:space="preserve">7. Strategic Summary</w:t>
      </w:r>
    </w:p>
    <w:p>
      <w:pPr>
        <w:spacing w:after="200"/>
      </w:pPr>
      <w:r>
        <w:rPr>
          <w:rFonts w:ascii="Arial" w:cs="Arial" w:eastAsia="Arial" w:hAnsi="Arial"/>
          <w:sz w:val="22"/>
          <w:szCs w:val="22"/>
        </w:rPr>
        <w:t xml:space="preserve">Leopold occupies a defensible position in the geospatial AI landscape through four key differentiators: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00"/>
        <w:gridCol w:w="7580"/>
      </w:tblGrid>
      <w:tr>
        <w:tc>
          <w:tcPr>
            <w:tcW w:type="dxa" w:w="2500"/>
            <w:tcBorders>
              <w:top w:val="single" w:color="CCCCCC" w:sz="1"/>
              <w:left w:val="single" w:color="CCCCCC" w:sz="1"/>
              <w:bottom w:val="single" w:color="CCCCCC" w:sz="1"/>
              <w:right w:val="single" w:color="CCCCCC" w:sz="1"/>
            </w:tcBorders>
            <w:shd w:fill="2D6A4F" w:val="clear"/>
            <w:tcMar>
              <w:top w:type="dxa" w:w="100"/>
              <w:left w:type="dxa" w:w="150"/>
              <w:bottom w:type="dxa" w:w="100"/>
              <w:right w:type="dxa" w:w="150"/>
            </w:tcMar>
          </w:tcPr>
          <w:p>
            <w:pPr>
              <w:jc w:val="center"/>
            </w:pPr>
            <w:r>
              <w:rPr>
                <w:rFonts w:ascii="Arial" w:cs="Arial" w:eastAsia="Arial" w:hAnsi="Arial"/>
                <w:b/>
                <w:bCs/>
                <w:color w:val="FFFFFF"/>
                <w:sz w:val="36"/>
                <w:szCs w:val="36"/>
              </w:rPr>
              <w:t xml:space="preserve">1</w:t>
            </w:r>
          </w:p>
          <w:p>
            <w:pPr>
              <w:jc w:val="center"/>
            </w:pPr>
            <w:r>
              <w:rPr>
                <w:rFonts w:ascii="Arial" w:cs="Arial" w:eastAsia="Arial" w:hAnsi="Arial"/>
                <w:b/>
                <w:bCs/>
                <w:color w:val="FFFFFF"/>
                <w:sz w:val="20"/>
                <w:szCs w:val="20"/>
              </w:rPr>
              <w:t xml:space="preserve">Different Target</w:t>
            </w:r>
          </w:p>
        </w:tc>
        <w:tc>
          <w:tcPr>
            <w:tcW w:type="dxa" w:w="7580"/>
            <w:tcBorders>
              <w:top w:val="single" w:color="CCCCCC" w:sz="1"/>
              <w:left w:val="single" w:color="CCCCCC" w:sz="1"/>
              <w:bottom w:val="single" w:color="CCCCCC" w:sz="1"/>
              <w:right w:val="single" w:color="CCCCCC" w:sz="1"/>
            </w:tcBorders>
            <w:tcMar>
              <w:top w:type="dxa" w:w="100"/>
              <w:left w:type="dxa" w:w="150"/>
              <w:bottom w:type="dxa" w:w="100"/>
              <w:right w:type="dxa" w:w="150"/>
            </w:tcMar>
          </w:tcPr>
          <w:p>
            <w:r>
              <w:rPr>
                <w:rFonts w:ascii="Arial" w:cs="Arial" w:eastAsia="Arial" w:hAnsi="Arial"/>
                <w:sz w:val="20"/>
                <w:szCs w:val="20"/>
              </w:rPr>
              <w:t xml:space="preserve">Species-level ecological inference vs. land-cover pixel classification. Fundamentally different prediction tasks requiring different architectures.</w:t>
            </w:r>
          </w:p>
        </w:tc>
      </w:tr>
      <w:tr>
        <w:tc>
          <w:tcPr>
            <w:tcW w:type="dxa" w:w="2500"/>
            <w:tcBorders>
              <w:top w:val="single" w:color="CCCCCC" w:sz="1"/>
              <w:left w:val="single" w:color="CCCCCC" w:sz="1"/>
              <w:bottom w:val="single" w:color="CCCCCC" w:sz="1"/>
              <w:right w:val="single" w:color="CCCCCC" w:sz="1"/>
            </w:tcBorders>
            <w:shd w:fill="40916C" w:val="clear"/>
            <w:tcMar>
              <w:top w:type="dxa" w:w="100"/>
              <w:left w:type="dxa" w:w="150"/>
              <w:bottom w:type="dxa" w:w="100"/>
              <w:right w:type="dxa" w:w="150"/>
            </w:tcMar>
          </w:tcPr>
          <w:p>
            <w:pPr>
              <w:jc w:val="center"/>
            </w:pPr>
            <w:r>
              <w:rPr>
                <w:rFonts w:ascii="Arial" w:cs="Arial" w:eastAsia="Arial" w:hAnsi="Arial"/>
                <w:b/>
                <w:bCs/>
                <w:color w:val="FFFFFF"/>
                <w:sz w:val="36"/>
                <w:szCs w:val="36"/>
              </w:rPr>
              <w:t xml:space="preserve">2</w:t>
            </w:r>
          </w:p>
          <w:p>
            <w:pPr>
              <w:jc w:val="center"/>
            </w:pPr>
            <w:r>
              <w:rPr>
                <w:rFonts w:ascii="Arial" w:cs="Arial" w:eastAsia="Arial" w:hAnsi="Arial"/>
                <w:b/>
                <w:bCs/>
                <w:color w:val="FFFFFF"/>
                <w:sz w:val="20"/>
                <w:szCs w:val="20"/>
              </w:rPr>
              <w:t xml:space="preserve">Different Data</w:t>
            </w:r>
          </w:p>
        </w:tc>
        <w:tc>
          <w:tcPr>
            <w:tcW w:type="dxa" w:w="7580"/>
            <w:tcBorders>
              <w:top w:val="single" w:color="CCCCCC" w:sz="1"/>
              <w:left w:val="single" w:color="CCCCCC" w:sz="1"/>
              <w:bottom w:val="single" w:color="CCCCCC" w:sz="1"/>
              <w:right w:val="single" w:color="CCCCCC" w:sz="1"/>
            </w:tcBorders>
            <w:tcMar>
              <w:top w:type="dxa" w:w="100"/>
              <w:left w:type="dxa" w:w="150"/>
              <w:bottom w:type="dxa" w:w="100"/>
              <w:right w:type="dxa" w:w="150"/>
            </w:tcMar>
          </w:tcPr>
          <w:p>
            <w:r>
              <w:rPr>
                <w:rFonts w:ascii="Arial" w:cs="Arial" w:eastAsia="Arial" w:hAnsi="Arial"/>
                <w:sz w:val="20"/>
                <w:szCs w:val="20"/>
              </w:rPr>
              <w:t xml:space="preserve">Citizen-science observation events vs. satellite imagery archives. Different data sources with different bias profiles requiring explicit handling.</w:t>
            </w:r>
          </w:p>
        </w:tc>
      </w:tr>
      <w:tr>
        <w:tc>
          <w:tcPr>
            <w:tcW w:type="dxa" w:w="2500"/>
            <w:tcBorders>
              <w:top w:val="single" w:color="CCCCCC" w:sz="1"/>
              <w:left w:val="single" w:color="CCCCCC" w:sz="1"/>
              <w:bottom w:val="single" w:color="CCCCCC" w:sz="1"/>
              <w:right w:val="single" w:color="CCCCCC" w:sz="1"/>
            </w:tcBorders>
            <w:shd w:fill="2D6A4F" w:val="clear"/>
            <w:tcMar>
              <w:top w:type="dxa" w:w="100"/>
              <w:left w:type="dxa" w:w="150"/>
              <w:bottom w:type="dxa" w:w="100"/>
              <w:right w:type="dxa" w:w="150"/>
            </w:tcMar>
          </w:tcPr>
          <w:p>
            <w:pPr>
              <w:jc w:val="center"/>
            </w:pPr>
            <w:r>
              <w:rPr>
                <w:rFonts w:ascii="Arial" w:cs="Arial" w:eastAsia="Arial" w:hAnsi="Arial"/>
                <w:b/>
                <w:bCs/>
                <w:color w:val="FFFFFF"/>
                <w:sz w:val="36"/>
                <w:szCs w:val="36"/>
              </w:rPr>
              <w:t xml:space="preserve">3</w:t>
            </w:r>
          </w:p>
          <w:p>
            <w:pPr>
              <w:jc w:val="center"/>
            </w:pPr>
            <w:r>
              <w:rPr>
                <w:rFonts w:ascii="Arial" w:cs="Arial" w:eastAsia="Arial" w:hAnsi="Arial"/>
                <w:b/>
                <w:bCs/>
                <w:color w:val="FFFFFF"/>
                <w:sz w:val="20"/>
                <w:szCs w:val="20"/>
              </w:rPr>
              <w:t xml:space="preserve">Extended Modality</w:t>
            </w:r>
          </w:p>
        </w:tc>
        <w:tc>
          <w:tcPr>
            <w:tcW w:type="dxa" w:w="7580"/>
            <w:tcBorders>
              <w:top w:val="single" w:color="CCCCCC" w:sz="1"/>
              <w:left w:val="single" w:color="CCCCCC" w:sz="1"/>
              <w:bottom w:val="single" w:color="CCCCCC" w:sz="1"/>
              <w:right w:val="single" w:color="CCCCCC" w:sz="1"/>
            </w:tcBorders>
            <w:tcMar>
              <w:top w:type="dxa" w:w="100"/>
              <w:left w:type="dxa" w:w="150"/>
              <w:bottom w:type="dxa" w:w="100"/>
              <w:right w:type="dxa" w:w="150"/>
            </w:tcMar>
          </w:tcPr>
          <w:p>
            <w:r>
              <w:rPr>
                <w:rFonts w:ascii="Arial" w:cs="Arial" w:eastAsia="Arial" w:hAnsi="Arial"/>
                <w:sz w:val="20"/>
                <w:szCs w:val="20"/>
              </w:rPr>
              <w:t xml:space="preserve">Visual + acoustic + plant identification. Enables monitoring of nocturnal, cryptic, and vocal species invisible to satellite imagery.</w:t>
            </w:r>
          </w:p>
        </w:tc>
      </w:tr>
      <w:tr>
        <w:tc>
          <w:tcPr>
            <w:tcW w:type="dxa" w:w="2500"/>
            <w:tcBorders>
              <w:top w:val="single" w:color="CCCCCC" w:sz="1"/>
              <w:left w:val="single" w:color="CCCCCC" w:sz="1"/>
              <w:bottom w:val="single" w:color="CCCCCC" w:sz="1"/>
              <w:right w:val="single" w:color="CCCCCC" w:sz="1"/>
            </w:tcBorders>
            <w:shd w:fill="40916C" w:val="clear"/>
            <w:tcMar>
              <w:top w:type="dxa" w:w="100"/>
              <w:left w:type="dxa" w:w="150"/>
              <w:bottom w:type="dxa" w:w="100"/>
              <w:right w:type="dxa" w:w="150"/>
            </w:tcMar>
          </w:tcPr>
          <w:p>
            <w:pPr>
              <w:jc w:val="center"/>
            </w:pPr>
            <w:r>
              <w:rPr>
                <w:rFonts w:ascii="Arial" w:cs="Arial" w:eastAsia="Arial" w:hAnsi="Arial"/>
                <w:b/>
                <w:bCs/>
                <w:color w:val="FFFFFF"/>
                <w:sz w:val="36"/>
                <w:szCs w:val="36"/>
              </w:rPr>
              <w:t xml:space="preserve">4</w:t>
            </w:r>
          </w:p>
          <w:p>
            <w:pPr>
              <w:jc w:val="center"/>
            </w:pPr>
            <w:r>
              <w:rPr>
                <w:rFonts w:ascii="Arial" w:cs="Arial" w:eastAsia="Arial" w:hAnsi="Arial"/>
                <w:b/>
                <w:bCs/>
                <w:color w:val="FFFFFF"/>
                <w:sz w:val="20"/>
                <w:szCs w:val="20"/>
              </w:rPr>
              <w:t xml:space="preserve">Governance Native</w:t>
            </w:r>
          </w:p>
        </w:tc>
        <w:tc>
          <w:tcPr>
            <w:tcW w:type="dxa" w:w="7580"/>
            <w:tcBorders>
              <w:top w:val="single" w:color="CCCCCC" w:sz="1"/>
              <w:left w:val="single" w:color="CCCCCC" w:sz="1"/>
              <w:bottom w:val="single" w:color="CCCCCC" w:sz="1"/>
              <w:right w:val="single" w:color="CCCCCC" w:sz="1"/>
            </w:tcBorders>
            <w:tcMar>
              <w:top w:type="dxa" w:w="100"/>
              <w:left w:type="dxa" w:w="150"/>
              <w:bottom w:type="dxa" w:w="100"/>
              <w:right w:type="dxa" w:w="150"/>
            </w:tcMar>
          </w:tcPr>
          <w:p>
            <w:r>
              <w:rPr>
                <w:rFonts w:ascii="Arial" w:cs="Arial" w:eastAsia="Arial" w:hAnsi="Arial"/>
                <w:sz w:val="20"/>
                <w:szCs w:val="20"/>
              </w:rPr>
              <w:t xml:space="preserve">Cryptographic provenance, evidence bundles, and explicit bias conditioning. Designed for regulatory and scientific audit requirements from inception.</w:t>
            </w:r>
          </w:p>
        </w:tc>
      </w:tr>
    </w:tbl>
    <w:p>
      <w:pPr>
        <w:spacing w:after="400"/>
      </w:pPr>
    </w:p>
    <w:p>
      <w:pPr>
        <w:spacing w:after="200"/>
      </w:pPr>
      <w:r>
        <w:rPr>
          <w:rFonts w:ascii="Arial" w:cs="Arial" w:eastAsia="Arial" w:hAnsi="Arial"/>
          <w:sz w:val="22"/>
          <w:szCs w:val="22"/>
        </w:rPr>
        <w:t xml:space="preserve">These differentiators position Leopold as complementary infrastructure for ecological AI, not a competitor to general-purpose geospatial foundation models. The strategic path forward emphasizes integration over competition, domain specificity over scale, and governance alignment over raw performance.</w:t>
      </w:r>
    </w:p>
    <w:p>
      <w:pPr>
        <w:spacing w:after="2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1F4E5F" w:sz="8"/>
              <w:left w:val="none" w:color="FFFFFF" w:sz="0"/>
              <w:bottom w:val="single" w:color="1F4E5F" w:sz="8"/>
              <w:right w:val="none" w:color="FFFFFF" w:sz="0"/>
            </w:tcBorders>
            <w:shd w:fill="D8F3DC" w:val="clear"/>
            <w:tcMar>
              <w:top w:type="dxa" w:w="200"/>
              <w:left w:type="dxa" w:w="300"/>
              <w:bottom w:type="dxa" w:w="200"/>
              <w:right w:type="dxa" w:w="300"/>
            </w:tcMar>
          </w:tcPr>
          <w:p>
            <w:pPr>
              <w:jc w:val="center"/>
            </w:pPr>
            <w:r>
              <w:rPr>
                <w:rFonts w:ascii="Arial" w:cs="Arial" w:eastAsia="Arial" w:hAnsi="Arial"/>
                <w:i/>
                <w:iCs/>
                <w:color w:val="1F4E5F"/>
                <w:sz w:val="22"/>
                <w:szCs w:val="22"/>
              </w:rPr>
              <w:t xml:space="preserve">Leopold does not claim to be a better Prithvi. It claims to be a different kind of system—one designed from first principles for ecological inference, citizen-science data, and trustworthy governance. That positioning is defensible, differentiated, and complementary to the existing GFM ecosystem.</w:t>
            </w:r>
          </w:p>
        </w:tc>
      </w:tr>
    </w:tbl>
    <w:sectPr>
      <w:headerReference w:type="default" r:id="rId6"/>
      <w:footerReference w:type="default" r:id="rId7"/>
      <w:pgSz w:w="12240" w:h="15840"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88888"/>
        <w:sz w:val="18"/>
        <w:szCs w:val="18"/>
      </w:rPr>
      <w:t xml:space="preserve">Global Heritage AI Initiative  |  </w:t>
    </w:r>
    <w:r>
      <w:rPr>
        <w:rFonts w:ascii="Arial" w:cs="Arial" w:eastAsia="Arial" w:hAnsi="Arial"/>
        <w:color w:val="888888"/>
        <w:sz w:val="18"/>
        <w:szCs w:val="18"/>
      </w:rPr>
      <w:t xml:space="preserve">Page </w:t>
    </w:r>
    <w:r>
      <w:rPr>
        <w:rFonts w:ascii="Arial" w:cs="Arial" w:eastAsia="Arial" w:hAnsi="Arial"/>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i/>
        <w:iCs/>
        <w:color w:val="888888"/>
        <w:sz w:val="18"/>
        <w:szCs w:val="18"/>
      </w:rPr>
      <w:t xml:space="preserve">Leopold Ecology Stack — Strategic Positioning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bullet"/>
      <w:lvlText w:val="◦"/>
      <w:lvlJc w:val="left"/>
      <w:pPr>
        <w:ind w:left="1080" w:hanging="360"/>
      </w:pPr>
    </w:lvl>
  </w:abstractNum>
  <w:abstractNum w:abstractNumId="4"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400" w:after="200"/>
      <w:outlineLvl w:val="0"/>
    </w:pPr>
    <w:rPr>
      <w:rFonts w:ascii="Arial" w:cs="Arial" w:eastAsia="Arial" w:hAnsi="Arial"/>
      <w:b/>
      <w:bCs/>
      <w:color w:val="1F4E5F"/>
      <w:sz w:val="36"/>
      <w:szCs w:val="36"/>
    </w:rPr>
  </w:style>
  <w:style w:type="paragraph" w:styleId="Heading2">
    <w:name w:val="Heading 2"/>
    <w:basedOn w:val="Normal"/>
    <w:next w:val="Normal"/>
    <w:qFormat/>
    <w:pPr>
      <w:spacing w:before="320" w:after="160"/>
      <w:outlineLvl w:val="1"/>
    </w:pPr>
    <w:rPr>
      <w:rFonts w:ascii="Arial" w:cs="Arial" w:eastAsia="Arial" w:hAnsi="Arial"/>
      <w:b/>
      <w:bCs/>
      <w:color w:val="2D6A4F"/>
      <w:sz w:val="28"/>
      <w:szCs w:val="28"/>
    </w:rPr>
  </w:style>
  <w:style w:type="paragraph" w:styleId="Heading3">
    <w:name w:val="Heading 3"/>
    <w:basedOn w:val="Normal"/>
    <w:next w:val="Normal"/>
    <w:qFormat/>
    <w:pPr>
      <w:spacing w:before="240" w:after="120"/>
      <w:outlineLvl w:val="2"/>
    </w:pPr>
    <w:rPr>
      <w:rFonts w:ascii="Arial" w:cs="Arial" w:eastAsia="Arial" w:hAnsi="Arial"/>
      <w:b/>
      <w:bCs/>
      <w:color w:val="40916C"/>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8954d9ca09f055552f1329a11de4ea6eb1d91698.png"/><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2026-02-04T03:56:14.521Z</dcterms:created>
  <dcterms:modified xsi:type="dcterms:W3CDTF">2026-02-04T03:56:14.522Z</dcterms:modified>
</cp:coreProperties>
</file>

<file path=docProps/custom.xml><?xml version="1.0" encoding="utf-8"?>
<Properties xmlns="http://schemas.openxmlformats.org/officeDocument/2006/custom-properties" xmlns:vt="http://schemas.openxmlformats.org/officeDocument/2006/docPropsVTypes"/>
</file>