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480" w:after="120"/>
        <w:jc w:val="center"/>
      </w:pPr>
      <w:r>
        <w:rPr>
          <w:rFonts w:ascii="Times New Roman" w:cs="Times New Roman" w:eastAsia="Times New Roman" w:hAnsi="Times New Roman"/>
          <w:b/>
          <w:bCs/>
          <w:sz w:val="48"/>
          <w:szCs w:val="48"/>
        </w:rPr>
        <w:t xml:space="preserve">Reverse Intent Tracking: Deterministic Behavioral</w:t>
      </w:r>
    </w:p>
    <w:p>
      <w:pPr>
        <w:spacing w:after="240"/>
        <w:jc w:val="center"/>
      </w:pPr>
      <w:r>
        <w:rPr>
          <w:rFonts w:ascii="Times New Roman" w:cs="Times New Roman" w:eastAsia="Times New Roman" w:hAnsi="Times New Roman"/>
          <w:b/>
          <w:bCs/>
          <w:sz w:val="48"/>
          <w:szCs w:val="48"/>
        </w:rPr>
        <w:t xml:space="preserve">Authorization Governance for AI-Assisted</w:t>
      </w:r>
    </w:p>
    <w:p>
      <w:pPr>
        <w:spacing w:after="360"/>
        <w:jc w:val="center"/>
      </w:pPr>
      <w:r>
        <w:rPr>
          <w:rFonts w:ascii="Times New Roman" w:cs="Times New Roman" w:eastAsia="Times New Roman" w:hAnsi="Times New Roman"/>
          <w:b/>
          <w:bCs/>
          <w:sz w:val="48"/>
          <w:szCs w:val="48"/>
        </w:rPr>
        <w:t xml:space="preserve">Software Development</w:t>
      </w:r>
    </w:p>
    <w:p>
      <w:pPr>
        <w:spacing w:after="60"/>
        <w:jc w:val="center"/>
      </w:pPr>
      <w:r>
        <w:rPr>
          <w:rFonts w:ascii="Times New Roman" w:cs="Times New Roman" w:eastAsia="Times New Roman" w:hAnsi="Times New Roman"/>
          <w:sz w:val="24"/>
          <w:szCs w:val="24"/>
        </w:rPr>
        <w:t xml:space="preserve">Charles Boswell</w:t>
      </w:r>
    </w:p>
    <w:p>
      <w:pPr>
        <w:spacing w:after="40"/>
        <w:jc w:val="center"/>
      </w:pPr>
      <w:r>
        <w:rPr>
          <w:rFonts w:ascii="Times New Roman" w:cs="Times New Roman" w:eastAsia="Times New Roman" w:hAnsi="Times New Roman"/>
          <w:i/>
          <w:iCs/>
          <w:sz w:val="20"/>
          <w:szCs w:val="20"/>
        </w:rPr>
        <w:t xml:space="preserve">Boswell Digital Solutions LLC</w:t>
      </w:r>
    </w:p>
    <w:p>
      <w:pPr>
        <w:spacing w:after="400"/>
        <w:jc w:val="center"/>
      </w:pPr>
      <w:r>
        <w:rPr>
          <w:rFonts w:ascii="Times New Roman" w:cs="Times New Roman" w:eastAsia="Times New Roman" w:hAnsi="Times New Roman"/>
          <w:i/>
          <w:iCs/>
          <w:sz w:val="20"/>
          <w:szCs w:val="20"/>
        </w:rPr>
        <w:t xml:space="preserve">Louisville, Kentucky, United States</w:t>
      </w:r>
    </w:p>
    <w:p>
      <w:pPr>
        <w:pBdr>
          <w:bottom w:val="single" w:color="000000" w:sz="3" w:space="1"/>
        </w:pBdr>
        <w:spacing w:after="200"/>
      </w:pPr>
    </w:p>
    <w:p>
      <w:pPr>
        <w:spacing w:before="120" w:after="120"/>
        <w:jc w:val="center"/>
      </w:pPr>
      <w:r>
        <w:rPr>
          <w:rFonts w:ascii="Times New Roman" w:cs="Times New Roman" w:eastAsia="Times New Roman" w:hAnsi="Times New Roman"/>
          <w:b/>
          <w:bCs/>
          <w:i/>
          <w:iCs/>
          <w:sz w:val="24"/>
          <w:szCs w:val="24"/>
        </w:rPr>
        <w:t xml:space="preserve">Abstract</w:t>
      </w:r>
    </w:p>
    <w:p>
      <w:pPr>
        <w:spacing w:after="120" w:line="240"/>
        <w:ind/>
        <w:jc w:val="both"/>
      </w:pPr>
      <w:r>
        <w:rPr>
          <w:rFonts w:ascii="Times New Roman" w:cs="Times New Roman" w:eastAsia="Times New Roman" w:hAnsi="Times New Roman"/>
          <w:i/>
          <w:iCs/>
          <w:sz w:val="20"/>
          <w:szCs w:val="20"/>
        </w:rPr>
        <w:t xml:space="preserve">AI-assisted software development fundamentally alters the risk profile of engineering organizations by enabling autonomous execution of large portions of approved build plans. While existing governance tooling validates correctness, safety, and stylistic compliance, no established mechanism enforces behavioral authorization alignment—the verification that implemented code introduces only those capabilities explicitly sanctioned by an approved design. This paper introduces </w:t>
      </w:r>
      <w:r>
        <w:rPr>
          <w:rFonts w:ascii="Times New Roman" w:cs="Times New Roman" w:eastAsia="Times New Roman" w:hAnsi="Times New Roman"/>
          <w:b/>
          <w:bCs/>
          <w:i/>
          <w:iCs/>
          <w:sz w:val="20"/>
          <w:szCs w:val="20"/>
        </w:rPr>
        <w:t xml:space="preserve">Reverse Intent Tracking (RIT)</w:t>
      </w:r>
      <w:r>
        <w:rPr>
          <w:rFonts w:ascii="Times New Roman" w:cs="Times New Roman" w:eastAsia="Times New Roman" w:hAnsi="Times New Roman"/>
          <w:i/>
          <w:iCs/>
          <w:sz w:val="20"/>
          <w:szCs w:val="20"/>
        </w:rPr>
        <w:t xml:space="preserve">, a deterministic governance framework that addresses this structural gap. RIT operates through a formal pipeline comprising a Plan Compiler that produces an Expected Intent Signature from approved specifications, a capability-aware Code Harvester that extracts an Observed Intent Signature from implementation artifacts, and a Drift Engine that computes Intent Drift as the behavioral delta between observed and expected capability sets. A canonical gating cascade enforces fail-closed authorization policies, supported by tamper-evident evidence bundles for audit traceability. RIT does not evaluate developer psychology, code style, or algorithmic optimality; it evaluates behavioral authorization alignment exclusively. This framework defines a new governance category—Behavioral Intent Governance—designed for AI-native engineering organizations, regulated industries, multi-agent development pipelines, and governance-first software architectures.</w:t>
      </w:r>
    </w:p>
    <w:p>
      <w:pPr>
        <w:spacing w:before="160" w:after="200"/>
      </w:pPr>
      <w:r>
        <w:rPr>
          <w:rFonts w:ascii="Times New Roman" w:cs="Times New Roman" w:eastAsia="Times New Roman" w:hAnsi="Times New Roman"/>
          <w:b/>
          <w:bCs/>
          <w:i/>
          <w:iCs/>
          <w:sz w:val="20"/>
          <w:szCs w:val="20"/>
        </w:rPr>
        <w:t xml:space="preserve">Index Terms—</w:t>
      </w:r>
      <w:r>
        <w:rPr>
          <w:rFonts w:ascii="Times New Roman" w:cs="Times New Roman" w:eastAsia="Times New Roman" w:hAnsi="Times New Roman"/>
          <w:i/>
          <w:iCs/>
          <w:sz w:val="20"/>
          <w:szCs w:val="20"/>
        </w:rPr>
        <w:t xml:space="preserve">AI governance, intent drift, behavioral authorization, deterministic verification, software engineering, capability analysis, build plan compliance, audit traceability, AI-assisted development, governance-first architecture</w:t>
      </w:r>
    </w:p>
    <w:p>
      <w:pPr>
        <w:pBdr>
          <w:bottom w:val="single" w:color="000000" w:sz="3" w:space="1"/>
        </w:pBdr>
        <w:spacing w:after="80"/>
      </w:pPr>
    </w:p>
    <w:p>
      <w:pPr>
        <w:sectPr>
          <w:headerReference w:type="default" r:id="rId6"/>
          <w:footerReference w:type="default" r:id="rId7"/>
          <w:pgSz w:w="12240" w:h="15840" w:orient="portrait"/>
          <w:pgMar w:top="1152" w:right="907" w:bottom="1152" w:left="907" w:header="708" w:footer="708" w:gutter="0"/>
          <w:pgNumType/>
          <w:docGrid w:linePitch="360"/>
        </w:sectPr>
      </w:pPr>
    </w:p>
    <w:p>
      <w:pPr>
        <w:spacing w:before="280" w:after="160"/>
        <w:jc w:val="center"/>
      </w:pPr>
      <w:r>
        <w:rPr>
          <w:rFonts w:ascii="Times New Roman" w:cs="Times New Roman" w:eastAsia="Times New Roman" w:hAnsi="Times New Roman"/>
          <w:b/>
          <w:bCs/>
          <w:sz w:val="20"/>
          <w:szCs w:val="20"/>
        </w:rPr>
        <w:t xml:space="preserve">I. INTRODUCTION</w:t>
      </w:r>
    </w:p>
    <w:p>
      <w:pPr>
        <w:spacing w:after="120" w:line="240"/>
        <w:ind/>
        <w:jc w:val="both"/>
      </w:pPr>
      <w:r>
        <w:rPr>
          <w:rFonts w:ascii="Times New Roman" w:cs="Times New Roman" w:eastAsia="Times New Roman" w:hAnsi="Times New Roman"/>
          <w:sz w:val="20"/>
          <w:szCs w:val="20"/>
        </w:rPr>
        <w:t xml:space="preserve">The emergence of AI-assisted software development represents a paradigm shift in how engineering organizations produce and maintain code. Modern AI systems, operating within structured build plan frameworks, execute large portions of approved designs autonomously, generating hundreds of micro-decisions during implementation. This capability dramatically increases development velocity while simultaneously introducing a structural governance gap that existing tooling does not address.</w:t>
      </w:r>
    </w:p>
    <w:p>
      <w:pPr>
        <w:spacing w:after="120" w:line="240"/>
        <w:ind w:firstLine="288"/>
        <w:jc w:val="both"/>
      </w:pPr>
      <w:r>
        <w:rPr>
          <w:rFonts w:ascii="Times New Roman" w:cs="Times New Roman" w:eastAsia="Times New Roman" w:hAnsi="Times New Roman"/>
          <w:sz w:val="20"/>
          <w:szCs w:val="20"/>
        </w:rPr>
        <w:t xml:space="preserve">Traditional software governance assumes human authorship for each implementation decision. Static analysis tools validate code safety patterns. Formal verification systems prove invariant correctness. Test suites confirm functional behavior. Policy-as-code frameworks enforce infrastructure compliance. Dependency scanners identify known vulnerabilities. Each of these tools serves a critical function within the software quality assurance landscape.</w:t>
      </w:r>
    </w:p>
    <w:p>
      <w:pPr>
        <w:spacing w:after="120" w:line="240"/>
        <w:ind w:firstLine="288"/>
        <w:jc w:val="both"/>
      </w:pPr>
      <w:r>
        <w:rPr>
          <w:rFonts w:ascii="Times New Roman" w:cs="Times New Roman" w:eastAsia="Times New Roman" w:hAnsi="Times New Roman"/>
          <w:sz w:val="20"/>
          <w:szCs w:val="20"/>
        </w:rPr>
        <w:t xml:space="preserve">However, none of these tools addresses a fundamental question that AI-assisted development makes urgent: does the implementation introduce behavioral capabilities that were not authorized by the approved plan? An AI executor may produce code that is functionally correct, passes all tests, satisfies static analysis requirements, and conforms to style guidelines—yet introduces capabilities beyond the authorized scope. The risk in AI-assisted development is not incorrectness; it is unauthorized expansion.</w:t>
      </w:r>
    </w:p>
    <w:p>
      <w:pPr>
        <w:spacing w:after="120" w:line="240"/>
        <w:ind w:firstLine="288"/>
        <w:jc w:val="both"/>
      </w:pPr>
      <w:r>
        <w:rPr>
          <w:rFonts w:ascii="Times New Roman" w:cs="Times New Roman" w:eastAsia="Times New Roman" w:hAnsi="Times New Roman"/>
          <w:sz w:val="20"/>
          <w:szCs w:val="20"/>
        </w:rPr>
        <w:t xml:space="preserve">This paper introduces Reverse Intent Tracking (RIT), a deterministic governance framework that computes measurable Intent Drift between an approved Build Plan and the behavioral capabilities introduced by implemented code. RIT enforces gating based on unauthorized capability expansion through a formal pipeline architecture. The framework operates through four primary components: a Plan Compiler that produces Expected Intent Signatures, a Code Harvester that extracts Observed Intent Signatures, a Drift Engine that computes behavioral deltas, and a canonical gating cascade that fails closed on unauthorized expansion.</w:t>
      </w:r>
    </w:p>
    <w:p>
      <w:pPr>
        <w:spacing w:after="120" w:line="240"/>
        <w:ind w:firstLine="288"/>
        <w:jc w:val="both"/>
      </w:pPr>
      <w:r>
        <w:rPr>
          <w:rFonts w:ascii="Times New Roman" w:cs="Times New Roman" w:eastAsia="Times New Roman" w:hAnsi="Times New Roman"/>
          <w:sz w:val="20"/>
          <w:szCs w:val="20"/>
        </w:rPr>
        <w:t xml:space="preserve">RIT defines a new governance category—Behavioral Intent Governance—that complements rather than replaces existing quality assurance tooling. This category addresses the previously ungoverned dimension of plan-to-code behavioral alignment, providing deterministic authorization enforcement in AI-accelerated development ecosystems.</w:t>
      </w:r>
    </w:p>
    <w:p>
      <w:pPr>
        <w:spacing w:before="280" w:after="160"/>
        <w:jc w:val="center"/>
      </w:pPr>
      <w:r>
        <w:rPr>
          <w:rFonts w:ascii="Times New Roman" w:cs="Times New Roman" w:eastAsia="Times New Roman" w:hAnsi="Times New Roman"/>
          <w:b/>
          <w:bCs/>
          <w:sz w:val="20"/>
          <w:szCs w:val="20"/>
        </w:rPr>
        <w:t xml:space="preserve">II. THE GOVERNANCE GAP IN AI-ASSISTED DEVELOPMENT</w:t>
      </w:r>
    </w:p>
    <w:p>
      <w:pPr>
        <w:spacing w:before="200" w:after="100"/>
      </w:pPr>
      <w:r>
        <w:rPr>
          <w:rFonts w:ascii="Times New Roman" w:cs="Times New Roman" w:eastAsia="Times New Roman" w:hAnsi="Times New Roman"/>
          <w:b/>
          <w:bCs/>
          <w:i/>
          <w:iCs/>
          <w:sz w:val="20"/>
          <w:szCs w:val="20"/>
        </w:rPr>
        <w:t xml:space="preserve">A. </w:t>
      </w:r>
      <w:r>
        <w:rPr>
          <w:rFonts w:ascii="Times New Roman" w:cs="Times New Roman" w:eastAsia="Times New Roman" w:hAnsi="Times New Roman"/>
          <w:i/>
          <w:iCs/>
          <w:sz w:val="20"/>
          <w:szCs w:val="20"/>
        </w:rPr>
        <w:t xml:space="preserve">AI Executors and the Changed Risk Model</w:t>
      </w:r>
    </w:p>
    <w:p>
      <w:pPr>
        <w:spacing w:after="120" w:line="240"/>
        <w:ind/>
        <w:jc w:val="both"/>
      </w:pPr>
      <w:r>
        <w:rPr>
          <w:rFonts w:ascii="Times New Roman" w:cs="Times New Roman" w:eastAsia="Times New Roman" w:hAnsi="Times New Roman"/>
          <w:sz w:val="20"/>
          <w:szCs w:val="20"/>
        </w:rPr>
        <w:t xml:space="preserve">Traditional development models assume that each implementation decision carries an implicit human authorization. When a developer writes code, they simultaneously author and authorize the behavioral capabilities introduced. AI-assisted development decouples authorship from authorization. An AI system executing a structured build plan may introduce changes that are functionally correct yet outside the scope of the authorized design.</w:t>
      </w:r>
    </w:p>
    <w:p>
      <w:pPr>
        <w:spacing w:after="120" w:line="240"/>
        <w:ind w:firstLine="288"/>
        <w:jc w:val="both"/>
      </w:pPr>
      <w:r>
        <w:rPr>
          <w:rFonts w:ascii="Times New Roman" w:cs="Times New Roman" w:eastAsia="Times New Roman" w:hAnsi="Times New Roman"/>
          <w:sz w:val="20"/>
          <w:szCs w:val="20"/>
        </w:rPr>
        <w:t xml:space="preserve">Specific categories of unauthorized expansion include implicit dependency additions with transitive capability introductions, new outbound network calls not specified in the design, subprocess execution paths beyond the authorized scope, authorization logic regressions that weaken security posture, and expanded file system access patterns. Each of these represents a behavioral capability that may be technically correct but governmentally unauthorized.</w:t>
      </w:r>
    </w:p>
    <w:p>
      <w:pPr>
        <w:spacing w:before="200" w:after="100"/>
      </w:pPr>
      <w:r>
        <w:rPr>
          <w:rFonts w:ascii="Times New Roman" w:cs="Times New Roman" w:eastAsia="Times New Roman" w:hAnsi="Times New Roman"/>
          <w:b/>
          <w:bCs/>
          <w:i/>
          <w:iCs/>
          <w:sz w:val="20"/>
          <w:szCs w:val="20"/>
        </w:rPr>
        <w:t xml:space="preserve">B. </w:t>
      </w:r>
      <w:r>
        <w:rPr>
          <w:rFonts w:ascii="Times New Roman" w:cs="Times New Roman" w:eastAsia="Times New Roman" w:hAnsi="Times New Roman"/>
          <w:i/>
          <w:iCs/>
          <w:sz w:val="20"/>
          <w:szCs w:val="20"/>
        </w:rPr>
        <w:t xml:space="preserve">Limitations of Existing Governance Tooling</w:t>
      </w:r>
    </w:p>
    <w:p>
      <w:pPr>
        <w:spacing w:after="120" w:line="240"/>
        <w:ind/>
        <w:jc w:val="both"/>
      </w:pPr>
      <w:r>
        <w:rPr>
          <w:rFonts w:ascii="Times New Roman" w:cs="Times New Roman" w:eastAsia="Times New Roman" w:hAnsi="Times New Roman"/>
          <w:sz w:val="20"/>
          <w:szCs w:val="20"/>
        </w:rPr>
        <w:t xml:space="preserve">Existing governance and quality tooling validates critical properties of software artifacts but does not validate alignment with authorized behavioral scope. Table I summarizes this coverage gap across major tooling categories.</w:t>
      </w:r>
    </w:p>
    <w:p>
      <w:pPr>
        <w:spacing w:before="200" w:after="100"/>
        <w:jc w:val="center"/>
      </w:pPr>
      <w:r>
        <w:rPr>
          <w:rFonts w:ascii="Times New Roman" w:cs="Times New Roman" w:eastAsia="Times New Roman" w:hAnsi="Times New Roman"/>
          <w:b/>
          <w:bCs/>
          <w:sz w:val="16"/>
          <w:szCs w:val="16"/>
        </w:rPr>
        <w:t xml:space="preserve">TABLE I</w:t>
      </w:r>
    </w:p>
    <w:p>
      <w:pPr>
        <w:spacing w:after="100"/>
        <w:jc w:val="center"/>
      </w:pPr>
      <w:r>
        <w:rPr>
          <w:rFonts w:ascii="Times New Roman" w:cs="Times New Roman" w:eastAsia="Times New Roman" w:hAnsi="Times New Roman"/>
          <w:i/>
          <w:iCs/>
          <w:sz w:val="16"/>
          <w:szCs w:val="16"/>
        </w:rPr>
        <w:t xml:space="preserve">Governance Coverage Analysis of Existing Tooling</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3400"/>
        <w:gridCol w:w="3000"/>
        <w:gridCol w:w="3600"/>
      </w:tblGrid>
      <w:tr>
        <w:tc>
          <w:tcPr>
            <w:tcW w:type="dxa" w:w="3400"/>
            <w:tcBorders>
              <w:top w:val="single" w:color="000000" w:sz="1"/>
              <w:left w:val="none" w:sz="0"/>
              <w:bottom w:val="single" w:color="000000" w:sz="3"/>
              <w:right w:val="none" w:sz="0"/>
            </w:tcBorders>
            <w:shd w:fill="FFFFFF" w:val="clear"/>
            <w:tcMar>
              <w:top w:type="dxa" w:w="40"/>
              <w:left w:type="dxa" w:w="80"/>
              <w:bottom w:type="dxa" w:w="40"/>
              <w:right w:type="dxa" w:w="80"/>
            </w:tcMar>
          </w:tcPr>
          <w:p>
            <w:pPr>
              <w:jc w:val="center"/>
            </w:pPr>
            <w:r>
              <w:rPr>
                <w:rFonts w:ascii="Times New Roman" w:cs="Times New Roman" w:eastAsia="Times New Roman" w:hAnsi="Times New Roman"/>
                <w:b/>
                <w:bCs/>
                <w:sz w:val="18"/>
                <w:szCs w:val="18"/>
              </w:rPr>
              <w:t xml:space="preserve">Tooling Class</w:t>
            </w:r>
          </w:p>
        </w:tc>
        <w:tc>
          <w:tcPr>
            <w:tcW w:type="dxa" w:w="3000"/>
            <w:tcBorders>
              <w:top w:val="single" w:color="000000" w:sz="1"/>
              <w:left w:val="none" w:sz="0"/>
              <w:bottom w:val="single" w:color="000000" w:sz="3"/>
              <w:right w:val="none" w:sz="0"/>
            </w:tcBorders>
            <w:shd w:fill="FFFFFF" w:val="clear"/>
            <w:tcMar>
              <w:top w:type="dxa" w:w="40"/>
              <w:left w:type="dxa" w:w="80"/>
              <w:bottom w:type="dxa" w:w="40"/>
              <w:right w:type="dxa" w:w="80"/>
            </w:tcMar>
          </w:tcPr>
          <w:p>
            <w:pPr>
              <w:jc w:val="center"/>
            </w:pPr>
            <w:r>
              <w:rPr>
                <w:rFonts w:ascii="Times New Roman" w:cs="Times New Roman" w:eastAsia="Times New Roman" w:hAnsi="Times New Roman"/>
                <w:b/>
                <w:bCs/>
                <w:sz w:val="18"/>
                <w:szCs w:val="18"/>
              </w:rPr>
              <w:t xml:space="preserve">Validates</w:t>
            </w:r>
          </w:p>
        </w:tc>
        <w:tc>
          <w:tcPr>
            <w:tcW w:type="dxa" w:w="3600"/>
            <w:tcBorders>
              <w:top w:val="single" w:color="000000" w:sz="1"/>
              <w:left w:val="none" w:sz="0"/>
              <w:bottom w:val="single" w:color="000000" w:sz="3"/>
              <w:right w:val="none" w:sz="0"/>
            </w:tcBorders>
            <w:shd w:fill="FFFFFF" w:val="clear"/>
            <w:tcMar>
              <w:top w:type="dxa" w:w="40"/>
              <w:left w:type="dxa" w:w="80"/>
              <w:bottom w:type="dxa" w:w="40"/>
              <w:right w:type="dxa" w:w="80"/>
            </w:tcMar>
          </w:tcPr>
          <w:p>
            <w:pPr>
              <w:jc w:val="center"/>
            </w:pPr>
            <w:r>
              <w:rPr>
                <w:rFonts w:ascii="Times New Roman" w:cs="Times New Roman" w:eastAsia="Times New Roman" w:hAnsi="Times New Roman"/>
                <w:b/>
                <w:bCs/>
                <w:sz w:val="18"/>
                <w:szCs w:val="18"/>
              </w:rPr>
              <w:t xml:space="preserve">Does Not Validate</w:t>
            </w:r>
          </w:p>
        </w:tc>
      </w:tr>
      <w:tr>
        <w:tc>
          <w:tcPr>
            <w:tcW w:type="dxa" w:w="3400"/>
            <w:tcBorders>
              <w:top w:val="none" w:sz="0"/>
              <w:left w:val="none" w:sz="0"/>
              <w:bottom w:val="none" w:sz="0"/>
              <w:right w:val="none" w:sz="0"/>
            </w:tcBorders>
            <w:tcMar>
              <w:top w:type="dxa" w:w="40"/>
              <w:left w:type="dxa" w:w="80"/>
              <w:bottom w:type="dxa" w:w="40"/>
              <w:right w:type="dxa" w:w="80"/>
            </w:tcMar>
          </w:tcPr>
          <w:p>
            <w:pPr>
              <w:spacing w:after="40"/>
            </w:pPr>
            <w:r>
              <w:rPr>
                <w:rFonts w:ascii="Times New Roman" w:cs="Times New Roman" w:eastAsia="Times New Roman" w:hAnsi="Times New Roman"/>
                <w:sz w:val="18"/>
                <w:szCs w:val="18"/>
              </w:rPr>
              <w:t xml:space="preserve">Static Analysis (SAST)</w:t>
            </w:r>
          </w:p>
        </w:tc>
        <w:tc>
          <w:tcPr>
            <w:tcW w:type="dxa" w:w="3000"/>
            <w:tcBorders>
              <w:top w:val="none" w:sz="0"/>
              <w:left w:val="none" w:sz="0"/>
              <w:bottom w:val="none" w:sz="0"/>
              <w:right w:val="none" w:sz="0"/>
            </w:tcBorders>
            <w:tcMar>
              <w:top w:type="dxa" w:w="40"/>
              <w:left w:type="dxa" w:w="80"/>
              <w:bottom w:type="dxa" w:w="40"/>
              <w:right w:type="dxa" w:w="80"/>
            </w:tcMar>
          </w:tcPr>
          <w:p>
            <w:pPr>
              <w:spacing w:after="40"/>
            </w:pPr>
            <w:r>
              <w:rPr>
                <w:rFonts w:ascii="Times New Roman" w:cs="Times New Roman" w:eastAsia="Times New Roman" w:hAnsi="Times New Roman"/>
                <w:sz w:val="18"/>
                <w:szCs w:val="18"/>
              </w:rPr>
              <w:t xml:space="preserve">Unsafe code patterns</w:t>
            </w:r>
          </w:p>
        </w:tc>
        <w:tc>
          <w:tcPr>
            <w:tcW w:type="dxa" w:w="3600"/>
            <w:tcBorders>
              <w:top w:val="none" w:sz="0"/>
              <w:left w:val="none" w:sz="0"/>
              <w:bottom w:val="none" w:sz="0"/>
              <w:right w:val="none" w:sz="0"/>
            </w:tcBorders>
            <w:tcMar>
              <w:top w:type="dxa" w:w="40"/>
              <w:left w:type="dxa" w:w="80"/>
              <w:bottom w:type="dxa" w:w="40"/>
              <w:right w:type="dxa" w:w="80"/>
            </w:tcMar>
          </w:tcPr>
          <w:p>
            <w:pPr>
              <w:spacing w:after="40"/>
            </w:pPr>
            <w:r>
              <w:rPr>
                <w:rFonts w:ascii="Times New Roman" w:cs="Times New Roman" w:eastAsia="Times New Roman" w:hAnsi="Times New Roman"/>
                <w:sz w:val="18"/>
                <w:szCs w:val="18"/>
              </w:rPr>
              <w:t xml:space="preserve">Alignment to design intent</w:t>
            </w:r>
          </w:p>
        </w:tc>
      </w:tr>
      <w:tr>
        <w:tc>
          <w:tcPr>
            <w:tcW w:type="dxa" w:w="3400"/>
            <w:tcBorders>
              <w:top w:val="none" w:sz="0"/>
              <w:left w:val="none" w:sz="0"/>
              <w:bottom w:val="none" w:sz="0"/>
              <w:right w:val="none" w:sz="0"/>
            </w:tcBorders>
            <w:tcMar>
              <w:top w:type="dxa" w:w="40"/>
              <w:left w:type="dxa" w:w="80"/>
              <w:bottom w:type="dxa" w:w="40"/>
              <w:right w:type="dxa" w:w="80"/>
            </w:tcMar>
          </w:tcPr>
          <w:p>
            <w:pPr>
              <w:spacing w:after="40"/>
            </w:pPr>
            <w:r>
              <w:rPr>
                <w:rFonts w:ascii="Times New Roman" w:cs="Times New Roman" w:eastAsia="Times New Roman" w:hAnsi="Times New Roman"/>
                <w:sz w:val="18"/>
                <w:szCs w:val="18"/>
              </w:rPr>
              <w:t xml:space="preserve">Formal Verification</w:t>
            </w:r>
          </w:p>
        </w:tc>
        <w:tc>
          <w:tcPr>
            <w:tcW w:type="dxa" w:w="3000"/>
            <w:tcBorders>
              <w:top w:val="none" w:sz="0"/>
              <w:left w:val="none" w:sz="0"/>
              <w:bottom w:val="none" w:sz="0"/>
              <w:right w:val="none" w:sz="0"/>
            </w:tcBorders>
            <w:tcMar>
              <w:top w:type="dxa" w:w="40"/>
              <w:left w:type="dxa" w:w="80"/>
              <w:bottom w:type="dxa" w:w="40"/>
              <w:right w:type="dxa" w:w="80"/>
            </w:tcMar>
          </w:tcPr>
          <w:p>
            <w:pPr>
              <w:spacing w:after="40"/>
            </w:pPr>
            <w:r>
              <w:rPr>
                <w:rFonts w:ascii="Times New Roman" w:cs="Times New Roman" w:eastAsia="Times New Roman" w:hAnsi="Times New Roman"/>
                <w:sz w:val="18"/>
                <w:szCs w:val="18"/>
              </w:rPr>
              <w:t xml:space="preserve">Program invariants</w:t>
            </w:r>
          </w:p>
        </w:tc>
        <w:tc>
          <w:tcPr>
            <w:tcW w:type="dxa" w:w="3600"/>
            <w:tcBorders>
              <w:top w:val="none" w:sz="0"/>
              <w:left w:val="none" w:sz="0"/>
              <w:bottom w:val="none" w:sz="0"/>
              <w:right w:val="none" w:sz="0"/>
            </w:tcBorders>
            <w:tcMar>
              <w:top w:type="dxa" w:w="40"/>
              <w:left w:type="dxa" w:w="80"/>
              <w:bottom w:type="dxa" w:w="40"/>
              <w:right w:type="dxa" w:w="80"/>
            </w:tcMar>
          </w:tcPr>
          <w:p>
            <w:pPr>
              <w:spacing w:after="40"/>
            </w:pPr>
            <w:r>
              <w:rPr>
                <w:rFonts w:ascii="Times New Roman" w:cs="Times New Roman" w:eastAsia="Times New Roman" w:hAnsi="Times New Roman"/>
                <w:sz w:val="18"/>
                <w:szCs w:val="18"/>
              </w:rPr>
              <w:t xml:space="preserve">Capability authorization</w:t>
            </w:r>
          </w:p>
        </w:tc>
      </w:tr>
      <w:tr>
        <w:tc>
          <w:tcPr>
            <w:tcW w:type="dxa" w:w="3400"/>
            <w:tcBorders>
              <w:top w:val="none" w:sz="0"/>
              <w:left w:val="none" w:sz="0"/>
              <w:bottom w:val="none" w:sz="0"/>
              <w:right w:val="none" w:sz="0"/>
            </w:tcBorders>
            <w:tcMar>
              <w:top w:type="dxa" w:w="40"/>
              <w:left w:type="dxa" w:w="80"/>
              <w:bottom w:type="dxa" w:w="40"/>
              <w:right w:type="dxa" w:w="80"/>
            </w:tcMar>
          </w:tcPr>
          <w:p>
            <w:pPr>
              <w:spacing w:after="40"/>
            </w:pPr>
            <w:r>
              <w:rPr>
                <w:rFonts w:ascii="Times New Roman" w:cs="Times New Roman" w:eastAsia="Times New Roman" w:hAnsi="Times New Roman"/>
                <w:sz w:val="18"/>
                <w:szCs w:val="18"/>
              </w:rPr>
              <w:t xml:space="preserve">Test Coverage</w:t>
            </w:r>
          </w:p>
        </w:tc>
        <w:tc>
          <w:tcPr>
            <w:tcW w:type="dxa" w:w="3000"/>
            <w:tcBorders>
              <w:top w:val="none" w:sz="0"/>
              <w:left w:val="none" w:sz="0"/>
              <w:bottom w:val="none" w:sz="0"/>
              <w:right w:val="none" w:sz="0"/>
            </w:tcBorders>
            <w:tcMar>
              <w:top w:type="dxa" w:w="40"/>
              <w:left w:type="dxa" w:w="80"/>
              <w:bottom w:type="dxa" w:w="40"/>
              <w:right w:type="dxa" w:w="80"/>
            </w:tcMar>
          </w:tcPr>
          <w:p>
            <w:pPr>
              <w:spacing w:after="40"/>
            </w:pPr>
            <w:r>
              <w:rPr>
                <w:rFonts w:ascii="Times New Roman" w:cs="Times New Roman" w:eastAsia="Times New Roman" w:hAnsi="Times New Roman"/>
                <w:sz w:val="18"/>
                <w:szCs w:val="18"/>
              </w:rPr>
              <w:t xml:space="preserve">Functional behavior</w:t>
            </w:r>
          </w:p>
        </w:tc>
        <w:tc>
          <w:tcPr>
            <w:tcW w:type="dxa" w:w="3600"/>
            <w:tcBorders>
              <w:top w:val="none" w:sz="0"/>
              <w:left w:val="none" w:sz="0"/>
              <w:bottom w:val="none" w:sz="0"/>
              <w:right w:val="none" w:sz="0"/>
            </w:tcBorders>
            <w:tcMar>
              <w:top w:type="dxa" w:w="40"/>
              <w:left w:type="dxa" w:w="80"/>
              <w:bottom w:type="dxa" w:w="40"/>
              <w:right w:type="dxa" w:w="80"/>
            </w:tcMar>
          </w:tcPr>
          <w:p>
            <w:pPr>
              <w:spacing w:after="40"/>
            </w:pPr>
            <w:r>
              <w:rPr>
                <w:rFonts w:ascii="Times New Roman" w:cs="Times New Roman" w:eastAsia="Times New Roman" w:hAnsi="Times New Roman"/>
                <w:sz w:val="18"/>
                <w:szCs w:val="18"/>
              </w:rPr>
              <w:t xml:space="preserve">Behavioral scope boundaries</w:t>
            </w:r>
          </w:p>
        </w:tc>
      </w:tr>
      <w:tr>
        <w:tc>
          <w:tcPr>
            <w:tcW w:type="dxa" w:w="3400"/>
            <w:tcBorders>
              <w:top w:val="none" w:sz="0"/>
              <w:left w:val="none" w:sz="0"/>
              <w:bottom w:val="none" w:sz="0"/>
              <w:right w:val="none" w:sz="0"/>
            </w:tcBorders>
            <w:tcMar>
              <w:top w:type="dxa" w:w="40"/>
              <w:left w:type="dxa" w:w="80"/>
              <w:bottom w:type="dxa" w:w="40"/>
              <w:right w:type="dxa" w:w="80"/>
            </w:tcMar>
          </w:tcPr>
          <w:p>
            <w:pPr>
              <w:spacing w:after="40"/>
            </w:pPr>
            <w:r>
              <w:rPr>
                <w:rFonts w:ascii="Times New Roman" w:cs="Times New Roman" w:eastAsia="Times New Roman" w:hAnsi="Times New Roman"/>
                <w:sz w:val="18"/>
                <w:szCs w:val="18"/>
              </w:rPr>
              <w:t xml:space="preserve">Policy-as-Code</w:t>
            </w:r>
          </w:p>
        </w:tc>
        <w:tc>
          <w:tcPr>
            <w:tcW w:type="dxa" w:w="3000"/>
            <w:tcBorders>
              <w:top w:val="none" w:sz="0"/>
              <w:left w:val="none" w:sz="0"/>
              <w:bottom w:val="none" w:sz="0"/>
              <w:right w:val="none" w:sz="0"/>
            </w:tcBorders>
            <w:tcMar>
              <w:top w:type="dxa" w:w="40"/>
              <w:left w:type="dxa" w:w="80"/>
              <w:bottom w:type="dxa" w:w="40"/>
              <w:right w:type="dxa" w:w="80"/>
            </w:tcMar>
          </w:tcPr>
          <w:p>
            <w:pPr>
              <w:spacing w:after="40"/>
            </w:pPr>
            <w:r>
              <w:rPr>
                <w:rFonts w:ascii="Times New Roman" w:cs="Times New Roman" w:eastAsia="Times New Roman" w:hAnsi="Times New Roman"/>
                <w:sz w:val="18"/>
                <w:szCs w:val="18"/>
              </w:rPr>
              <w:t xml:space="preserve">Infrastructure rules</w:t>
            </w:r>
          </w:p>
        </w:tc>
        <w:tc>
          <w:tcPr>
            <w:tcW w:type="dxa" w:w="3600"/>
            <w:tcBorders>
              <w:top w:val="none" w:sz="0"/>
              <w:left w:val="none" w:sz="0"/>
              <w:bottom w:val="none" w:sz="0"/>
              <w:right w:val="none" w:sz="0"/>
            </w:tcBorders>
            <w:tcMar>
              <w:top w:type="dxa" w:w="40"/>
              <w:left w:type="dxa" w:w="80"/>
              <w:bottom w:type="dxa" w:w="40"/>
              <w:right w:type="dxa" w:w="80"/>
            </w:tcMar>
          </w:tcPr>
          <w:p>
            <w:pPr>
              <w:spacing w:after="40"/>
            </w:pPr>
            <w:r>
              <w:rPr>
                <w:rFonts w:ascii="Times New Roman" w:cs="Times New Roman" w:eastAsia="Times New Roman" w:hAnsi="Times New Roman"/>
                <w:sz w:val="18"/>
                <w:szCs w:val="18"/>
              </w:rPr>
              <w:t xml:space="preserve">Application capability drift</w:t>
            </w:r>
          </w:p>
        </w:tc>
      </w:tr>
      <w:tr>
        <w:tc>
          <w:tcPr>
            <w:tcW w:type="dxa" w:w="3400"/>
            <w:tcBorders>
              <w:top w:val="none" w:sz="0"/>
              <w:left w:val="none" w:sz="0"/>
              <w:bottom w:val="none" w:sz="0"/>
              <w:right w:val="none" w:sz="0"/>
            </w:tcBorders>
            <w:tcMar>
              <w:top w:type="dxa" w:w="40"/>
              <w:left w:type="dxa" w:w="80"/>
              <w:bottom w:type="dxa" w:w="40"/>
              <w:right w:type="dxa" w:w="80"/>
            </w:tcMar>
          </w:tcPr>
          <w:p>
            <w:pPr>
              <w:spacing w:after="40"/>
            </w:pPr>
            <w:r>
              <w:rPr>
                <w:rFonts w:ascii="Times New Roman" w:cs="Times New Roman" w:eastAsia="Times New Roman" w:hAnsi="Times New Roman"/>
                <w:sz w:val="18"/>
                <w:szCs w:val="18"/>
              </w:rPr>
              <w:t xml:space="preserve">Dependency Scanners</w:t>
            </w:r>
          </w:p>
        </w:tc>
        <w:tc>
          <w:tcPr>
            <w:tcW w:type="dxa" w:w="3000"/>
            <w:tcBorders>
              <w:top w:val="none" w:sz="0"/>
              <w:left w:val="none" w:sz="0"/>
              <w:bottom w:val="none" w:sz="0"/>
              <w:right w:val="none" w:sz="0"/>
            </w:tcBorders>
            <w:tcMar>
              <w:top w:type="dxa" w:w="40"/>
              <w:left w:type="dxa" w:w="80"/>
              <w:bottom w:type="dxa" w:w="40"/>
              <w:right w:type="dxa" w:w="80"/>
            </w:tcMar>
          </w:tcPr>
          <w:p>
            <w:pPr>
              <w:spacing w:after="40"/>
            </w:pPr>
            <w:r>
              <w:rPr>
                <w:rFonts w:ascii="Times New Roman" w:cs="Times New Roman" w:eastAsia="Times New Roman" w:hAnsi="Times New Roman"/>
                <w:sz w:val="18"/>
                <w:szCs w:val="18"/>
              </w:rPr>
              <w:t xml:space="preserve">Known vulnerabilities</w:t>
            </w:r>
          </w:p>
        </w:tc>
        <w:tc>
          <w:tcPr>
            <w:tcW w:type="dxa" w:w="3600"/>
            <w:tcBorders>
              <w:top w:val="none" w:sz="0"/>
              <w:left w:val="none" w:sz="0"/>
              <w:bottom w:val="none" w:sz="0"/>
              <w:right w:val="none" w:sz="0"/>
            </w:tcBorders>
            <w:tcMar>
              <w:top w:type="dxa" w:w="40"/>
              <w:left w:type="dxa" w:w="80"/>
              <w:bottom w:type="dxa" w:w="40"/>
              <w:right w:type="dxa" w:w="80"/>
            </w:tcMar>
          </w:tcPr>
          <w:p>
            <w:pPr>
              <w:spacing w:after="40"/>
            </w:pPr>
            <w:r>
              <w:rPr>
                <w:rFonts w:ascii="Times New Roman" w:cs="Times New Roman" w:eastAsia="Times New Roman" w:hAnsi="Times New Roman"/>
                <w:sz w:val="18"/>
                <w:szCs w:val="18"/>
              </w:rPr>
              <w:t xml:space="preserve">Whether dependency was authorized</w:t>
            </w:r>
          </w:p>
        </w:tc>
      </w:tr>
      <w:tr>
        <w:tc>
          <w:tcPr>
            <w:tcW w:type="dxa" w:w="3400"/>
            <w:tcBorders>
              <w:top w:val="single" w:color="000000" w:sz="3"/>
              <w:left w:val="none" w:sz="0"/>
              <w:bottom w:val="none" w:sz="0"/>
              <w:right w:val="none" w:sz="0"/>
            </w:tcBorders>
            <w:tcMar>
              <w:top w:type="dxa" w:w="0"/>
              <w:left w:type="dxa" w:w="0"/>
              <w:bottom w:type="dxa" w:w="0"/>
              <w:right w:type="dxa" w:w="0"/>
            </w:tcMar>
          </w:tcPr>
          <w:p>
            <w:pPr>
              <w:spacing w:after="0"/>
            </w:pPr>
          </w:p>
        </w:tc>
        <w:tc>
          <w:tcPr>
            <w:tcW w:type="dxa" w:w="3000"/>
            <w:tcBorders>
              <w:top w:val="single" w:color="000000" w:sz="3"/>
              <w:left w:val="none" w:sz="0"/>
              <w:bottom w:val="none" w:sz="0"/>
              <w:right w:val="none" w:sz="0"/>
            </w:tcBorders>
            <w:tcMar>
              <w:top w:type="dxa" w:w="0"/>
              <w:left w:type="dxa" w:w="0"/>
              <w:bottom w:type="dxa" w:w="0"/>
              <w:right w:type="dxa" w:w="0"/>
            </w:tcMar>
          </w:tcPr>
          <w:p>
            <w:pPr>
              <w:spacing w:after="0"/>
            </w:pPr>
          </w:p>
        </w:tc>
        <w:tc>
          <w:tcPr>
            <w:tcW w:type="dxa" w:w="3600"/>
            <w:tcBorders>
              <w:top w:val="single" w:color="000000" w:sz="3"/>
              <w:left w:val="none" w:sz="0"/>
              <w:bottom w:val="none" w:sz="0"/>
              <w:right w:val="none" w:sz="0"/>
            </w:tcBorders>
            <w:tcMar>
              <w:top w:type="dxa" w:w="0"/>
              <w:left w:type="dxa" w:w="0"/>
              <w:bottom w:type="dxa" w:w="0"/>
              <w:right w:type="dxa" w:w="0"/>
            </w:tcMar>
          </w:tcPr>
          <w:p>
            <w:pPr>
              <w:spacing w:after="0"/>
            </w:pPr>
          </w:p>
        </w:tc>
      </w:tr>
    </w:tbl>
    <w:p>
      <w:pPr>
        <w:spacing w:after="160"/>
      </w:pPr>
    </w:p>
    <w:p>
      <w:pPr>
        <w:spacing w:after="120" w:line="240"/>
        <w:ind w:firstLine="288"/>
        <w:jc w:val="both"/>
      </w:pPr>
      <w:r>
        <w:rPr>
          <w:rFonts w:ascii="Times New Roman" w:cs="Times New Roman" w:eastAsia="Times New Roman" w:hAnsi="Times New Roman"/>
          <w:sz w:val="20"/>
          <w:szCs w:val="20"/>
        </w:rPr>
        <w:t xml:space="preserve">As Table I demonstrates, no existing tooling class addresses the question of whether implemented capabilities align with the authorized behavioral scope. RIT occupies this previously unaddressed governance layer.</w:t>
      </w:r>
    </w:p>
    <w:p>
      <w:pPr>
        <w:spacing w:before="280" w:after="160"/>
        <w:jc w:val="center"/>
      </w:pPr>
      <w:r>
        <w:rPr>
          <w:rFonts w:ascii="Times New Roman" w:cs="Times New Roman" w:eastAsia="Times New Roman" w:hAnsi="Times New Roman"/>
          <w:b/>
          <w:bCs/>
          <w:sz w:val="20"/>
          <w:szCs w:val="20"/>
        </w:rPr>
        <w:t xml:space="preserve">III. FORMAL DEFINITION OF INTENT DRIFT</w:t>
      </w:r>
    </w:p>
    <w:p>
      <w:pPr>
        <w:spacing w:before="200" w:after="100"/>
      </w:pPr>
      <w:r>
        <w:rPr>
          <w:rFonts w:ascii="Times New Roman" w:cs="Times New Roman" w:eastAsia="Times New Roman" w:hAnsi="Times New Roman"/>
          <w:b/>
          <w:bCs/>
          <w:i/>
          <w:iCs/>
          <w:sz w:val="20"/>
          <w:szCs w:val="20"/>
        </w:rPr>
        <w:t xml:space="preserve">A. </w:t>
      </w:r>
      <w:r>
        <w:rPr>
          <w:rFonts w:ascii="Times New Roman" w:cs="Times New Roman" w:eastAsia="Times New Roman" w:hAnsi="Times New Roman"/>
          <w:i/>
          <w:iCs/>
          <w:sz w:val="20"/>
          <w:szCs w:val="20"/>
        </w:rPr>
        <w:t xml:space="preserve">Terminology</w:t>
      </w:r>
    </w:p>
    <w:p>
      <w:pPr>
        <w:spacing w:after="120" w:line="240"/>
        <w:ind/>
        <w:jc w:val="both"/>
      </w:pPr>
      <w:r>
        <w:rPr>
          <w:rFonts w:ascii="Times New Roman" w:cs="Times New Roman" w:eastAsia="Times New Roman" w:hAnsi="Times New Roman"/>
          <w:sz w:val="20"/>
          <w:szCs w:val="20"/>
        </w:rPr>
        <w:t xml:space="preserve">This section establishes formal terminology for the RIT framework. A Build Plan is defined as a structured, approved description of authorized behavior and scope. The Expected Intent Signature is the deterministic compilation of the Build Plan into a machine-comparable behavioral authorization representation. The Observed Intent Signature is the deterministic extraction of behavioral capabilities from implemented code artifacts. Intent Drift is defined as the behavioral delta between the Observed and Expected signatures.</w:t>
      </w:r>
    </w:p>
    <w:p>
      <w:pPr>
        <w:spacing w:before="200" w:after="100"/>
      </w:pPr>
      <w:r>
        <w:rPr>
          <w:rFonts w:ascii="Times New Roman" w:cs="Times New Roman" w:eastAsia="Times New Roman" w:hAnsi="Times New Roman"/>
          <w:b/>
          <w:bCs/>
          <w:i/>
          <w:iCs/>
          <w:sz w:val="20"/>
          <w:szCs w:val="20"/>
        </w:rPr>
        <w:t xml:space="preserve">B. </w:t>
      </w:r>
      <w:r>
        <w:rPr>
          <w:rFonts w:ascii="Times New Roman" w:cs="Times New Roman" w:eastAsia="Times New Roman" w:hAnsi="Times New Roman"/>
          <w:i/>
          <w:iCs/>
          <w:sz w:val="20"/>
          <w:szCs w:val="20"/>
        </w:rPr>
        <w:t xml:space="preserve">Formal Definition</w:t>
      </w:r>
    </w:p>
    <w:p>
      <w:pPr>
        <w:spacing w:after="120" w:line="240"/>
        <w:ind/>
        <w:jc w:val="both"/>
      </w:pPr>
      <w:r>
        <w:rPr>
          <w:rFonts w:ascii="Times New Roman" w:cs="Times New Roman" w:eastAsia="Times New Roman" w:hAnsi="Times New Roman"/>
          <w:sz w:val="20"/>
          <w:szCs w:val="20"/>
        </w:rPr>
        <w:t xml:space="preserve">Let E represent the Expected Behavioral Capability Set derived from the approved Build Plan, and let O represent the Observed Behavioral Capability Set extracted from implemented code. Intent Drift D is defined as:</w:t>
      </w:r>
    </w:p>
    <w:p>
      <w:pPr>
        <w:spacing w:before="160" w:after="160"/>
        <w:jc w:val="center"/>
      </w:pPr>
      <w:r>
        <w:rPr>
          <w:rFonts w:ascii="Times New Roman" w:cs="Times New Roman" w:eastAsia="Times New Roman" w:hAnsi="Times New Roman"/>
          <w:i/>
          <w:iCs/>
          <w:sz w:val="22"/>
          <w:szCs w:val="22"/>
        </w:rPr>
        <w:t xml:space="preserve">D = O − E</w:t>
      </w:r>
      <w:r>
        <w:rPr>
          <w:rFonts w:ascii="Times New Roman" w:cs="Times New Roman" w:eastAsia="Times New Roman" w:hAnsi="Times New Roman"/>
          <w:sz w:val="20"/>
          <w:szCs w:val="20"/>
        </w:rPr>
        <w:t xml:space="preserve">                    (1)</w:t>
      </w:r>
    </w:p>
    <w:p>
      <w:pPr>
        <w:spacing w:after="120" w:line="240"/>
        <w:ind w:firstLine="288"/>
        <w:jc w:val="both"/>
      </w:pPr>
      <w:r>
        <w:rPr>
          <w:rFonts w:ascii="Times New Roman" w:cs="Times New Roman" w:eastAsia="Times New Roman" w:hAnsi="Times New Roman"/>
          <w:sz w:val="20"/>
          <w:szCs w:val="20"/>
        </w:rPr>
        <w:t xml:space="preserve">where D represents the set of capabilities introduced by the implementation that were not authorized by the Build Plan. A non-empty D indicates unauthorized behavioral expansion requiring governance action.</w:t>
      </w:r>
    </w:p>
    <w:p>
      <w:pPr>
        <w:spacing w:before="200" w:after="100"/>
      </w:pPr>
      <w:r>
        <w:rPr>
          <w:rFonts w:ascii="Times New Roman" w:cs="Times New Roman" w:eastAsia="Times New Roman" w:hAnsi="Times New Roman"/>
          <w:b/>
          <w:bCs/>
          <w:i/>
          <w:iCs/>
          <w:sz w:val="20"/>
          <w:szCs w:val="20"/>
        </w:rPr>
        <w:t xml:space="preserve">C. </w:t>
      </w:r>
      <w:r>
        <w:rPr>
          <w:rFonts w:ascii="Times New Roman" w:cs="Times New Roman" w:eastAsia="Times New Roman" w:hAnsi="Times New Roman"/>
          <w:i/>
          <w:iCs/>
          <w:sz w:val="20"/>
          <w:szCs w:val="20"/>
        </w:rPr>
        <w:t xml:space="preserve">Scope of Evaluation</w:t>
      </w:r>
    </w:p>
    <w:p>
      <w:pPr>
        <w:spacing w:after="120" w:line="240"/>
        <w:ind/>
        <w:jc w:val="both"/>
      </w:pPr>
      <w:r>
        <w:rPr>
          <w:rFonts w:ascii="Times New Roman" w:cs="Times New Roman" w:eastAsia="Times New Roman" w:hAnsi="Times New Roman"/>
          <w:sz w:val="20"/>
          <w:szCs w:val="20"/>
        </w:rPr>
        <w:t xml:space="preserve">RIT evaluates the following capability dimensions: side-effect capabilities including network communication, filesystem operations, and subprocess execution; state mutation capabilities encompassing database writes and schema changes; privilege escalation surfaces; interface surface changes including API routes, CLI flags, and public exports; authorization and fail-open regressions; and dependency introduction with transitive capability analysis.</w:t>
      </w:r>
    </w:p>
    <w:p>
      <w:pPr>
        <w:spacing w:after="120" w:line="240"/>
        <w:ind w:firstLine="288"/>
        <w:jc w:val="both"/>
      </w:pPr>
      <w:r>
        <w:rPr>
          <w:rFonts w:ascii="Times New Roman" w:cs="Times New Roman" w:eastAsia="Times New Roman" w:hAnsi="Times New Roman"/>
          <w:sz w:val="20"/>
          <w:szCs w:val="20"/>
        </w:rPr>
        <w:t xml:space="preserve">Explicitly excluded from RIT evaluation are developer psychology, code style preferences, algorithmic optimality, and semantic equivalence proofs. RIT evaluates behavioral authorization alignment exclusively.</w:t>
      </w:r>
    </w:p>
    <w:p>
      <w:pPr>
        <w:spacing w:before="280" w:after="160"/>
        <w:jc w:val="center"/>
      </w:pPr>
      <w:r>
        <w:rPr>
          <w:rFonts w:ascii="Times New Roman" w:cs="Times New Roman" w:eastAsia="Times New Roman" w:hAnsi="Times New Roman"/>
          <w:b/>
          <w:bCs/>
          <w:sz w:val="20"/>
          <w:szCs w:val="20"/>
        </w:rPr>
        <w:t xml:space="preserve">IV. THREAT MODEL</w:t>
      </w:r>
    </w:p>
    <w:p>
      <w:pPr>
        <w:spacing w:after="120" w:line="240"/>
        <w:ind/>
        <w:jc w:val="both"/>
      </w:pPr>
      <w:r>
        <w:rPr>
          <w:rFonts w:ascii="Times New Roman" w:cs="Times New Roman" w:eastAsia="Times New Roman" w:hAnsi="Times New Roman"/>
          <w:sz w:val="20"/>
          <w:szCs w:val="20"/>
        </w:rPr>
        <w:t xml:space="preserve">RIT assumes AI-assisted development environments where implementation velocity exceeds human review granularity. The framework addresses four primary threat categories.</w:t>
      </w:r>
    </w:p>
    <w:p>
      <w:pPr>
        <w:spacing w:before="200" w:after="100"/>
      </w:pPr>
      <w:r>
        <w:rPr>
          <w:rFonts w:ascii="Times New Roman" w:cs="Times New Roman" w:eastAsia="Times New Roman" w:hAnsi="Times New Roman"/>
          <w:b/>
          <w:bCs/>
          <w:i/>
          <w:iCs/>
          <w:sz w:val="20"/>
          <w:szCs w:val="20"/>
        </w:rPr>
        <w:t xml:space="preserve">A. </w:t>
      </w:r>
      <w:r>
        <w:rPr>
          <w:rFonts w:ascii="Times New Roman" w:cs="Times New Roman" w:eastAsia="Times New Roman" w:hAnsi="Times New Roman"/>
          <w:i/>
          <w:iCs/>
          <w:sz w:val="20"/>
          <w:szCs w:val="20"/>
        </w:rPr>
        <w:t xml:space="preserve">Accidental Scope Expansion</w:t>
      </w:r>
    </w:p>
    <w:p>
      <w:pPr>
        <w:spacing w:after="120" w:line="240"/>
        <w:ind/>
        <w:jc w:val="both"/>
      </w:pPr>
      <w:r>
        <w:rPr>
          <w:rFonts w:ascii="Times New Roman" w:cs="Times New Roman" w:eastAsia="Times New Roman" w:hAnsi="Times New Roman"/>
          <w:sz w:val="20"/>
          <w:szCs w:val="20"/>
        </w:rPr>
        <w:t xml:space="preserve">AI systems may introduce convenience network calls, add logging sinks with unintended data exposure, expand file system access patterns, or add dependencies with transitive capabilities that exceed the authorized scope. These changes are not malicious in nature but expand the behavioral capability surface of the system.</w:t>
      </w:r>
    </w:p>
    <w:p>
      <w:pPr>
        <w:spacing w:before="200" w:after="100"/>
      </w:pPr>
      <w:r>
        <w:rPr>
          <w:rFonts w:ascii="Times New Roman" w:cs="Times New Roman" w:eastAsia="Times New Roman" w:hAnsi="Times New Roman"/>
          <w:b/>
          <w:bCs/>
          <w:i/>
          <w:iCs/>
          <w:sz w:val="20"/>
          <w:szCs w:val="20"/>
        </w:rPr>
        <w:t xml:space="preserve">B. </w:t>
      </w:r>
      <w:r>
        <w:rPr>
          <w:rFonts w:ascii="Times New Roman" w:cs="Times New Roman" w:eastAsia="Times New Roman" w:hAnsi="Times New Roman"/>
          <w:i/>
          <w:iCs/>
          <w:sz w:val="20"/>
          <w:szCs w:val="20"/>
        </w:rPr>
        <w:t xml:space="preserve">Authorization Downgrade</w:t>
      </w:r>
    </w:p>
    <w:p>
      <w:pPr>
        <w:spacing w:after="120" w:line="240"/>
        <w:ind/>
        <w:jc w:val="both"/>
      </w:pPr>
      <w:r>
        <w:rPr>
          <w:rFonts w:ascii="Times New Roman" w:cs="Times New Roman" w:eastAsia="Times New Roman" w:hAnsi="Times New Roman"/>
          <w:sz w:val="20"/>
          <w:szCs w:val="20"/>
        </w:rPr>
        <w:t xml:space="preserve">Implementation artifacts may remove authorization guards, introduce fail-open behavior in error handling paths, or bypass policy enforcement layers. Such changes represent regressions in security posture that may not be detected by correctness-oriented testing.</w:t>
      </w:r>
    </w:p>
    <w:p>
      <w:pPr>
        <w:spacing w:before="200" w:after="100"/>
      </w:pPr>
      <w:r>
        <w:rPr>
          <w:rFonts w:ascii="Times New Roman" w:cs="Times New Roman" w:eastAsia="Times New Roman" w:hAnsi="Times New Roman"/>
          <w:b/>
          <w:bCs/>
          <w:i/>
          <w:iCs/>
          <w:sz w:val="20"/>
          <w:szCs w:val="20"/>
        </w:rPr>
        <w:t xml:space="preserve">C. </w:t>
      </w:r>
      <w:r>
        <w:rPr>
          <w:rFonts w:ascii="Times New Roman" w:cs="Times New Roman" w:eastAsia="Times New Roman" w:hAnsi="Times New Roman"/>
          <w:i/>
          <w:iCs/>
          <w:sz w:val="20"/>
          <w:szCs w:val="20"/>
        </w:rPr>
        <w:t xml:space="preserve">Dependency-Driven Capability Injection</w:t>
      </w:r>
    </w:p>
    <w:p>
      <w:pPr>
        <w:spacing w:after="120" w:line="240"/>
        <w:ind/>
        <w:jc w:val="both"/>
      </w:pPr>
      <w:r>
        <w:rPr>
          <w:rFonts w:ascii="Times New Roman" w:cs="Times New Roman" w:eastAsia="Times New Roman" w:hAnsi="Times New Roman"/>
          <w:sz w:val="20"/>
          <w:szCs w:val="20"/>
        </w:rPr>
        <w:t xml:space="preserve">Dependency version updates may introduce new runtime behaviors not explicitly authorized in the Build Plan. Transitive dependency changes are particularly difficult to detect through manual review processes.</w:t>
      </w:r>
    </w:p>
    <w:p>
      <w:pPr>
        <w:spacing w:before="200" w:after="100"/>
      </w:pPr>
      <w:r>
        <w:rPr>
          <w:rFonts w:ascii="Times New Roman" w:cs="Times New Roman" w:eastAsia="Times New Roman" w:hAnsi="Times New Roman"/>
          <w:b/>
          <w:bCs/>
          <w:i/>
          <w:iCs/>
          <w:sz w:val="20"/>
          <w:szCs w:val="20"/>
        </w:rPr>
        <w:t xml:space="preserve">D. </w:t>
      </w:r>
      <w:r>
        <w:rPr>
          <w:rFonts w:ascii="Times New Roman" w:cs="Times New Roman" w:eastAsia="Times New Roman" w:hAnsi="Times New Roman"/>
          <w:i/>
          <w:iCs/>
          <w:sz w:val="20"/>
          <w:szCs w:val="20"/>
        </w:rPr>
        <w:t xml:space="preserve">Adversarial Drift</w:t>
      </w:r>
    </w:p>
    <w:p>
      <w:pPr>
        <w:spacing w:after="120" w:line="240"/>
        <w:ind/>
        <w:jc w:val="both"/>
      </w:pPr>
      <w:r>
        <w:rPr>
          <w:rFonts w:ascii="Times New Roman" w:cs="Times New Roman" w:eastAsia="Times New Roman" w:hAnsi="Times New Roman"/>
          <w:sz w:val="20"/>
          <w:szCs w:val="20"/>
        </w:rPr>
        <w:t xml:space="preserve">In higher-risk environments, a malicious actor may attempt to introduce unauthorized capabilities through indirect patterns designed to evade detection. RIT addresses this threat through deterministic detector coverage requirements, capability ontology enforcement, fail-closed gating for critical capability drift, and explicit separation between deterministic findings and advisory analysis. Detector coverage is treated as a security property, with gaps documented and version-controlled.</w:t>
      </w:r>
    </w:p>
    <w:p>
      <w:pPr>
        <w:spacing w:before="280" w:after="160"/>
        <w:jc w:val="center"/>
      </w:pPr>
      <w:r>
        <w:rPr>
          <w:rFonts w:ascii="Times New Roman" w:cs="Times New Roman" w:eastAsia="Times New Roman" w:hAnsi="Times New Roman"/>
          <w:b/>
          <w:bCs/>
          <w:sz w:val="20"/>
          <w:szCs w:val="20"/>
        </w:rPr>
        <w:t xml:space="preserve">V. SYSTEM ARCHITECTURE</w:t>
      </w:r>
    </w:p>
    <w:p>
      <w:pPr>
        <w:spacing w:after="120" w:line="240"/>
        <w:ind/>
        <w:jc w:val="both"/>
      </w:pPr>
      <w:r>
        <w:rPr>
          <w:rFonts w:ascii="Times New Roman" w:cs="Times New Roman" w:eastAsia="Times New Roman" w:hAnsi="Times New Roman"/>
          <w:sz w:val="20"/>
          <w:szCs w:val="20"/>
        </w:rPr>
        <w:t xml:space="preserve">The RIT architecture comprises five primary components operating in a deterministic pipeline. Fig. 1 illustrates the high-level data flow.</w:t>
      </w:r>
    </w:p>
    <w:p>
      <w:pPr>
        <w:spacing w:before="200" w:after="100"/>
      </w:pPr>
      <w:r>
        <w:rPr>
          <w:rFonts w:ascii="Times New Roman" w:cs="Times New Roman" w:eastAsia="Times New Roman" w:hAnsi="Times New Roman"/>
          <w:b/>
          <w:bCs/>
          <w:i/>
          <w:iCs/>
          <w:sz w:val="20"/>
          <w:szCs w:val="20"/>
        </w:rPr>
        <w:t xml:space="preserve">A. </w:t>
      </w:r>
      <w:r>
        <w:rPr>
          <w:rFonts w:ascii="Times New Roman" w:cs="Times New Roman" w:eastAsia="Times New Roman" w:hAnsi="Times New Roman"/>
          <w:i/>
          <w:iCs/>
          <w:sz w:val="20"/>
          <w:szCs w:val="20"/>
        </w:rPr>
        <w:t xml:space="preserve">Plan Compiler (Root of Trust)</w:t>
      </w:r>
    </w:p>
    <w:p>
      <w:pPr>
        <w:spacing w:after="120" w:line="240"/>
        <w:ind/>
        <w:jc w:val="both"/>
      </w:pPr>
      <w:r>
        <w:rPr>
          <w:rFonts w:ascii="Times New Roman" w:cs="Times New Roman" w:eastAsia="Times New Roman" w:hAnsi="Times New Roman"/>
          <w:sz w:val="20"/>
          <w:szCs w:val="20"/>
        </w:rPr>
        <w:t xml:space="preserve">The Plan Compiler serves as the root of trust for the RIT pipeline. It accepts structured Build Plans and compiles them into deterministic Expected Intent Signatures. The compilation process validates schema completeness, rejects underspecified plans, normalizes paths and capability identifiers, and enforces alignment with the capability registry. The resulting Expected Signature is versioned, cryptographically hashed, and treated as a governance-authorized artifact.</w:t>
      </w:r>
    </w:p>
    <w:p>
      <w:pPr>
        <w:spacing w:before="200" w:after="100"/>
      </w:pPr>
      <w:r>
        <w:rPr>
          <w:rFonts w:ascii="Times New Roman" w:cs="Times New Roman" w:eastAsia="Times New Roman" w:hAnsi="Times New Roman"/>
          <w:b/>
          <w:bCs/>
          <w:i/>
          <w:iCs/>
          <w:sz w:val="20"/>
          <w:szCs w:val="20"/>
        </w:rPr>
        <w:t xml:space="preserve">B. </w:t>
      </w:r>
      <w:r>
        <w:rPr>
          <w:rFonts w:ascii="Times New Roman" w:cs="Times New Roman" w:eastAsia="Times New Roman" w:hAnsi="Times New Roman"/>
          <w:i/>
          <w:iCs/>
          <w:sz w:val="20"/>
          <w:szCs w:val="20"/>
        </w:rPr>
        <w:t xml:space="preserve">Code Harvester</w:t>
      </w:r>
    </w:p>
    <w:p>
      <w:pPr>
        <w:spacing w:after="120" w:line="240"/>
        <w:ind/>
        <w:jc w:val="both"/>
      </w:pPr>
      <w:r>
        <w:rPr>
          <w:rFonts w:ascii="Times New Roman" w:cs="Times New Roman" w:eastAsia="Times New Roman" w:hAnsi="Times New Roman"/>
          <w:sz w:val="20"/>
          <w:szCs w:val="20"/>
        </w:rPr>
        <w:t xml:space="preserve">The Code Harvester extracts Observed Intent Signatures from code diffs using pluggable deterministic detectors. Detector implementations include static analysis engines such as Semgrep and CodeQL, abstract syntax tree parsing, lock file diff inspection, and route and interface discovery modules. All outputs are normalized into a stable JSON schema for consistent comparison.</w:t>
      </w:r>
    </w:p>
    <w:p>
      <w:pPr>
        <w:spacing w:before="200" w:after="100"/>
      </w:pPr>
      <w:r>
        <w:rPr>
          <w:rFonts w:ascii="Times New Roman" w:cs="Times New Roman" w:eastAsia="Times New Roman" w:hAnsi="Times New Roman"/>
          <w:b/>
          <w:bCs/>
          <w:i/>
          <w:iCs/>
          <w:sz w:val="20"/>
          <w:szCs w:val="20"/>
        </w:rPr>
        <w:t xml:space="preserve">C. </w:t>
      </w:r>
      <w:r>
        <w:rPr>
          <w:rFonts w:ascii="Times New Roman" w:cs="Times New Roman" w:eastAsia="Times New Roman" w:hAnsi="Times New Roman"/>
          <w:i/>
          <w:iCs/>
          <w:sz w:val="20"/>
          <w:szCs w:val="20"/>
        </w:rPr>
        <w:t xml:space="preserve">Drift Engine</w:t>
      </w:r>
    </w:p>
    <w:p>
      <w:pPr>
        <w:spacing w:after="120" w:line="240"/>
        <w:ind/>
        <w:jc w:val="both"/>
      </w:pPr>
      <w:r>
        <w:rPr>
          <w:rFonts w:ascii="Times New Roman" w:cs="Times New Roman" w:eastAsia="Times New Roman" w:hAnsi="Times New Roman"/>
          <w:sz w:val="20"/>
          <w:szCs w:val="20"/>
        </w:rPr>
        <w:t xml:space="preserve">The Drift Engine computes the set difference D = O − E as defined in equation (1). Findings are categorized by severity and assigned to confidence tiers distinguishing deterministic findings from advisory analysis.</w:t>
      </w:r>
    </w:p>
    <w:p>
      <w:pPr>
        <w:spacing w:before="200" w:after="100"/>
      </w:pPr>
      <w:r>
        <w:rPr>
          <w:rFonts w:ascii="Times New Roman" w:cs="Times New Roman" w:eastAsia="Times New Roman" w:hAnsi="Times New Roman"/>
          <w:b/>
          <w:bCs/>
          <w:i/>
          <w:iCs/>
          <w:sz w:val="20"/>
          <w:szCs w:val="20"/>
        </w:rPr>
        <w:t xml:space="preserve">D. </w:t>
      </w:r>
      <w:r>
        <w:rPr>
          <w:rFonts w:ascii="Times New Roman" w:cs="Times New Roman" w:eastAsia="Times New Roman" w:hAnsi="Times New Roman"/>
          <w:i/>
          <w:iCs/>
          <w:sz w:val="20"/>
          <w:szCs w:val="20"/>
        </w:rPr>
        <w:t xml:space="preserve">Canonical Gating Cascade</w:t>
      </w:r>
    </w:p>
    <w:p>
      <w:pPr>
        <w:spacing w:after="120" w:line="240"/>
        <w:ind/>
        <w:jc w:val="both"/>
      </w:pPr>
      <w:r>
        <w:rPr>
          <w:rFonts w:ascii="Times New Roman" w:cs="Times New Roman" w:eastAsia="Times New Roman" w:hAnsi="Times New Roman"/>
          <w:sz w:val="20"/>
          <w:szCs w:val="20"/>
        </w:rPr>
        <w:t xml:space="preserve">The gating cascade enforces authorization policy through a deterministic decision tree. The cascade evaluates findings according to the following precedence:</w:t>
      </w:r>
    </w:p>
    <w:p>
      <w:pPr>
        <w:pStyle w:val="ListParagraph"/>
        <w:numPr>
          <w:ilvl w:val="0"/>
          <w:numId w:val="2"/>
        </w:numPr>
        <w:spacing w:after="60" w:line="240"/>
      </w:pPr>
      <w:r>
        <w:rPr>
          <w:rFonts w:ascii="Times New Roman" w:cs="Times New Roman" w:eastAsia="Times New Roman" w:hAnsi="Times New Roman"/>
          <w:sz w:val="20"/>
          <w:szCs w:val="20"/>
        </w:rPr>
        <w:t xml:space="preserve">If any critical factual finding exists, the pipeline is hard-failed and execution is blocked.</w:t>
      </w:r>
    </w:p>
    <w:p>
      <w:pPr>
        <w:pStyle w:val="ListParagraph"/>
        <w:numPr>
          <w:ilvl w:val="0"/>
          <w:numId w:val="2"/>
        </w:numPr>
        <w:spacing w:after="60" w:line="240"/>
      </w:pPr>
      <w:r>
        <w:rPr>
          <w:rFonts w:ascii="Times New Roman" w:cs="Times New Roman" w:eastAsia="Times New Roman" w:hAnsi="Times New Roman"/>
          <w:sz w:val="20"/>
          <w:szCs w:val="20"/>
        </w:rPr>
        <w:t xml:space="preserve">If the aggregate score exceeds the configured threshold, a soft-fail is triggered requiring human review.</w:t>
      </w:r>
    </w:p>
    <w:p>
      <w:pPr>
        <w:pStyle w:val="ListParagraph"/>
        <w:numPr>
          <w:ilvl w:val="0"/>
          <w:numId w:val="2"/>
        </w:numPr>
        <w:spacing w:after="60" w:line="240"/>
      </w:pPr>
      <w:r>
        <w:rPr>
          <w:rFonts w:ascii="Times New Roman" w:cs="Times New Roman" w:eastAsia="Times New Roman" w:hAnsi="Times New Roman"/>
          <w:sz w:val="20"/>
          <w:szCs w:val="20"/>
        </w:rPr>
        <w:t xml:space="preserve">If the aggregate score exceeds a negotiation minimum and factual findings exist, the pipeline enters a negotiation state.</w:t>
      </w:r>
    </w:p>
    <w:p>
      <w:pPr>
        <w:pStyle w:val="ListParagraph"/>
        <w:numPr>
          <w:ilvl w:val="0"/>
          <w:numId w:val="2"/>
        </w:numPr>
        <w:spacing w:after="120" w:line="240"/>
      </w:pPr>
      <w:r>
        <w:rPr>
          <w:rFonts w:ascii="Times New Roman" w:cs="Times New Roman" w:eastAsia="Times New Roman" w:hAnsi="Times New Roman"/>
          <w:sz w:val="20"/>
          <w:szCs w:val="20"/>
        </w:rPr>
        <w:t xml:space="preserve">Otherwise, the pipeline passes.</w:t>
      </w:r>
    </w:p>
    <w:p>
      <w:pPr>
        <w:spacing w:after="120" w:line="240"/>
        <w:ind w:firstLine="288"/>
        <w:jc w:val="both"/>
      </w:pPr>
      <w:r>
        <w:rPr>
          <w:rFonts w:ascii="Times New Roman" w:cs="Times New Roman" w:eastAsia="Times New Roman" w:hAnsi="Times New Roman"/>
          <w:sz w:val="20"/>
          <w:szCs w:val="20"/>
        </w:rPr>
        <w:t xml:space="preserve">This cascade is deterministic, and its decision space has been verified to contain no dead zones—every possible input maps to exactly one gating outcome.</w:t>
      </w:r>
    </w:p>
    <w:p>
      <w:pPr>
        <w:spacing w:before="200" w:after="100"/>
      </w:pPr>
      <w:r>
        <w:rPr>
          <w:rFonts w:ascii="Times New Roman" w:cs="Times New Roman" w:eastAsia="Times New Roman" w:hAnsi="Times New Roman"/>
          <w:b/>
          <w:bCs/>
          <w:i/>
          <w:iCs/>
          <w:sz w:val="20"/>
          <w:szCs w:val="20"/>
        </w:rPr>
        <w:t xml:space="preserve">E. </w:t>
      </w:r>
      <w:r>
        <w:rPr>
          <w:rFonts w:ascii="Times New Roman" w:cs="Times New Roman" w:eastAsia="Times New Roman" w:hAnsi="Times New Roman"/>
          <w:i/>
          <w:iCs/>
          <w:sz w:val="20"/>
          <w:szCs w:val="20"/>
        </w:rPr>
        <w:t xml:space="preserve">Evidence Bundle Architecture</w:t>
      </w:r>
    </w:p>
    <w:p>
      <w:pPr>
        <w:spacing w:after="120" w:line="240"/>
        <w:ind/>
        <w:jc w:val="both"/>
      </w:pPr>
      <w:r>
        <w:rPr>
          <w:rFonts w:ascii="Times New Roman" w:cs="Times New Roman" w:eastAsia="Times New Roman" w:hAnsi="Times New Roman"/>
          <w:sz w:val="20"/>
          <w:szCs w:val="20"/>
        </w:rPr>
        <w:t xml:space="preserve">Each RIT execution produces a tamper-evident evidence bundle containing the plan artifact, expected signature, observed signature, drift report, individual detector outputs, configuration hash, and capability registry hash. This architecture supports audit compliance scenarios and provides a complete chain of evidence from authorized plan to gating decision.</w:t>
      </w:r>
    </w:p>
    <w:p>
      <w:pPr>
        <w:spacing w:before="280" w:after="160"/>
        <w:jc w:val="center"/>
      </w:pPr>
      <w:r>
        <w:rPr>
          <w:rFonts w:ascii="Times New Roman" w:cs="Times New Roman" w:eastAsia="Times New Roman" w:hAnsi="Times New Roman"/>
          <w:b/>
          <w:bCs/>
          <w:sz w:val="20"/>
          <w:szCs w:val="20"/>
        </w:rPr>
        <w:t xml:space="preserve">VI. CAPABILITY ONTOLOGY</w:t>
      </w:r>
    </w:p>
    <w:p>
      <w:pPr>
        <w:spacing w:after="120" w:line="240"/>
        <w:ind/>
        <w:jc w:val="both"/>
      </w:pPr>
      <w:r>
        <w:rPr>
          <w:rFonts w:ascii="Times New Roman" w:cs="Times New Roman" w:eastAsia="Times New Roman" w:hAnsi="Times New Roman"/>
          <w:sz w:val="20"/>
          <w:szCs w:val="20"/>
        </w:rPr>
        <w:t xml:space="preserve">RIT introduces a formal capability registry that defines canonical capability identifiers, side-effect classifications, privilege escalation classifications, severity weights, and detector coverage sources. The ontology provides the vocabulary against which both Expected and Observed Intent Signatures are expressed.</w:t>
      </w:r>
    </w:p>
    <w:p>
      <w:pPr>
        <w:spacing w:after="120" w:line="240"/>
        <w:ind w:firstLine="288"/>
        <w:jc w:val="both"/>
      </w:pPr>
      <w:r>
        <w:rPr>
          <w:rFonts w:ascii="Times New Roman" w:cs="Times New Roman" w:eastAsia="Times New Roman" w:hAnsi="Times New Roman"/>
          <w:sz w:val="20"/>
          <w:szCs w:val="20"/>
        </w:rPr>
        <w:t xml:space="preserve">A critical design decision in the capability ontology is the strict separation of capability identification from risk analysis. Capabilities are classified according to their behavioral nature—what they do—independently of contextual risk factors such as dataflow sensitivity. This separation preserves ontological clarity and enforcement determinism, preventing risk heuristics from contaminating capability identification.</w:t>
      </w:r>
    </w:p>
    <w:p>
      <w:pPr>
        <w:spacing w:before="280" w:after="160"/>
        <w:jc w:val="center"/>
      </w:pPr>
      <w:r>
        <w:rPr>
          <w:rFonts w:ascii="Times New Roman" w:cs="Times New Roman" w:eastAsia="Times New Roman" w:hAnsi="Times New Roman"/>
          <w:b/>
          <w:bCs/>
          <w:sz w:val="20"/>
          <w:szCs w:val="20"/>
        </w:rPr>
        <w:t xml:space="preserve">VII. DETERMINISTIC GOVERNANCE MODEL</w:t>
      </w:r>
    </w:p>
    <w:p>
      <w:pPr>
        <w:spacing w:after="120" w:line="240"/>
        <w:ind/>
        <w:jc w:val="both"/>
      </w:pPr>
      <w:r>
        <w:rPr>
          <w:rFonts w:ascii="Times New Roman" w:cs="Times New Roman" w:eastAsia="Times New Roman" w:hAnsi="Times New Roman"/>
          <w:sz w:val="20"/>
          <w:szCs w:val="20"/>
        </w:rPr>
        <w:t xml:space="preserve">The RIT governance model enforces three foundational principles that distinguish it from probabilistic or advisory governance approaches.</w:t>
      </w:r>
    </w:p>
    <w:p>
      <w:pPr>
        <w:spacing w:after="120" w:line="240"/>
        <w:ind w:firstLine="288"/>
        <w:jc w:val="both"/>
      </w:pPr>
      <w:r>
        <w:rPr>
          <w:rFonts w:ascii="Times New Roman" w:cs="Times New Roman" w:eastAsia="Times New Roman" w:hAnsi="Times New Roman"/>
          <w:b/>
          <w:bCs/>
          <w:sz w:val="20"/>
          <w:szCs w:val="20"/>
        </w:rPr>
        <w:t xml:space="preserve">Principle 1: Facts precede hypotheses. </w:t>
      </w:r>
      <w:r>
        <w:rPr>
          <w:rFonts w:ascii="Times New Roman" w:cs="Times New Roman" w:eastAsia="Times New Roman" w:hAnsi="Times New Roman"/>
          <w:sz w:val="20"/>
          <w:szCs w:val="20"/>
        </w:rPr>
        <w:t xml:space="preserve">Deterministic findings from static analysis and AST parsing are evaluated before any probabilistic or heuristic analysis. This ordering ensures that governance decisions are grounded in verifiable evidence.</w:t>
      </w:r>
    </w:p>
    <w:p>
      <w:pPr>
        <w:spacing w:after="120" w:line="240"/>
        <w:ind w:firstLine="288"/>
        <w:jc w:val="both"/>
      </w:pPr>
      <w:r>
        <w:rPr>
          <w:rFonts w:ascii="Times New Roman" w:cs="Times New Roman" w:eastAsia="Times New Roman" w:hAnsi="Times New Roman"/>
          <w:b/>
          <w:bCs/>
          <w:sz w:val="20"/>
          <w:szCs w:val="20"/>
        </w:rPr>
        <w:t xml:space="preserve">Principle 2: Deterministic findings gate pipelines. </w:t>
      </w:r>
      <w:r>
        <w:rPr>
          <w:rFonts w:ascii="Times New Roman" w:cs="Times New Roman" w:eastAsia="Times New Roman" w:hAnsi="Times New Roman"/>
          <w:sz w:val="20"/>
          <w:szCs w:val="20"/>
        </w:rPr>
        <w:t xml:space="preserve">Only deterministic findings—those produced by formally verifiable detection methods—are permitted to trigger pipeline gating actions. Advisory findings may inform human review but cannot independently alter gating outcomes.</w:t>
      </w:r>
    </w:p>
    <w:p>
      <w:pPr>
        <w:spacing w:after="120" w:line="240"/>
        <w:ind w:firstLine="288"/>
        <w:jc w:val="both"/>
      </w:pPr>
      <w:r>
        <w:rPr>
          <w:rFonts w:ascii="Times New Roman" w:cs="Times New Roman" w:eastAsia="Times New Roman" w:hAnsi="Times New Roman"/>
          <w:b/>
          <w:bCs/>
          <w:sz w:val="20"/>
          <w:szCs w:val="20"/>
        </w:rPr>
        <w:t xml:space="preserve">Principle 3: Advisory analysis cannot override deterministic results. </w:t>
      </w:r>
      <w:r>
        <w:rPr>
          <w:rFonts w:ascii="Times New Roman" w:cs="Times New Roman" w:eastAsia="Times New Roman" w:hAnsi="Times New Roman"/>
          <w:sz w:val="20"/>
          <w:szCs w:val="20"/>
        </w:rPr>
        <w:t xml:space="preserve">Large Language Model-generated summaries and heuristic analysis may supplement human understanding of drift findings but are explicitly prohibited from overriding deterministic gating decisions. This principle preserves authority integrity in AI-assisted environments where the temptation to rely on AI-generated reasoning is significant.</w:t>
      </w:r>
    </w:p>
    <w:p>
      <w:pPr>
        <w:spacing w:before="280" w:after="160"/>
        <w:jc w:val="center"/>
      </w:pPr>
      <w:r>
        <w:rPr>
          <w:rFonts w:ascii="Times New Roman" w:cs="Times New Roman" w:eastAsia="Times New Roman" w:hAnsi="Times New Roman"/>
          <w:b/>
          <w:bCs/>
          <w:sz w:val="20"/>
          <w:szCs w:val="20"/>
        </w:rPr>
        <w:t xml:space="preserve">VIII. COMPARATIVE ANALYSIS</w:t>
      </w:r>
    </w:p>
    <w:p>
      <w:pPr>
        <w:spacing w:after="120" w:line="240"/>
        <w:ind/>
        <w:jc w:val="both"/>
      </w:pPr>
      <w:r>
        <w:rPr>
          <w:rFonts w:ascii="Times New Roman" w:cs="Times New Roman" w:eastAsia="Times New Roman" w:hAnsi="Times New Roman"/>
          <w:sz w:val="20"/>
          <w:szCs w:val="20"/>
        </w:rPr>
        <w:t xml:space="preserve">RIT complements rather than replaces existing governance tooling. Table II presents a comparative analysis of RIT against established approaches.</w:t>
      </w:r>
    </w:p>
    <w:p>
      <w:pPr>
        <w:spacing w:before="200" w:after="100"/>
        <w:jc w:val="center"/>
      </w:pPr>
      <w:r>
        <w:rPr>
          <w:rFonts w:ascii="Times New Roman" w:cs="Times New Roman" w:eastAsia="Times New Roman" w:hAnsi="Times New Roman"/>
          <w:b/>
          <w:bCs/>
          <w:sz w:val="16"/>
          <w:szCs w:val="16"/>
        </w:rPr>
        <w:t xml:space="preserve">TABLE II</w:t>
      </w:r>
    </w:p>
    <w:p>
      <w:pPr>
        <w:spacing w:after="100"/>
        <w:jc w:val="center"/>
      </w:pPr>
      <w:r>
        <w:rPr>
          <w:rFonts w:ascii="Times New Roman" w:cs="Times New Roman" w:eastAsia="Times New Roman" w:hAnsi="Times New Roman"/>
          <w:i/>
          <w:iCs/>
          <w:sz w:val="16"/>
          <w:szCs w:val="16"/>
        </w:rPr>
        <w:t xml:space="preserve">Comparative Governance Coverage</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3400"/>
        <w:gridCol w:w="3200"/>
        <w:gridCol w:w="3400"/>
      </w:tblGrid>
      <w:tr>
        <w:tc>
          <w:tcPr>
            <w:tcW w:type="dxa" w:w="3400"/>
            <w:tcBorders>
              <w:top w:val="single" w:color="000000" w:sz="1"/>
              <w:left w:val="none" w:sz="0"/>
              <w:bottom w:val="single" w:color="000000" w:sz="3"/>
              <w:right w:val="none" w:sz="0"/>
            </w:tcBorders>
            <w:shd w:fill="FFFFFF" w:val="clear"/>
            <w:tcMar>
              <w:top w:type="dxa" w:w="40"/>
              <w:left w:type="dxa" w:w="80"/>
              <w:bottom w:type="dxa" w:w="40"/>
              <w:right w:type="dxa" w:w="80"/>
            </w:tcMar>
          </w:tcPr>
          <w:p>
            <w:pPr>
              <w:jc w:val="center"/>
            </w:pPr>
            <w:r>
              <w:rPr>
                <w:rFonts w:ascii="Times New Roman" w:cs="Times New Roman" w:eastAsia="Times New Roman" w:hAnsi="Times New Roman"/>
                <w:b/>
                <w:bCs/>
                <w:sz w:val="18"/>
                <w:szCs w:val="18"/>
              </w:rPr>
              <w:t xml:space="preserve">Approach</w:t>
            </w:r>
          </w:p>
        </w:tc>
        <w:tc>
          <w:tcPr>
            <w:tcW w:type="dxa" w:w="3200"/>
            <w:tcBorders>
              <w:top w:val="single" w:color="000000" w:sz="1"/>
              <w:left w:val="none" w:sz="0"/>
              <w:bottom w:val="single" w:color="000000" w:sz="3"/>
              <w:right w:val="none" w:sz="0"/>
            </w:tcBorders>
            <w:shd w:fill="FFFFFF" w:val="clear"/>
            <w:tcMar>
              <w:top w:type="dxa" w:w="40"/>
              <w:left w:type="dxa" w:w="80"/>
              <w:bottom w:type="dxa" w:w="40"/>
              <w:right w:type="dxa" w:w="80"/>
            </w:tcMar>
          </w:tcPr>
          <w:p>
            <w:pPr>
              <w:jc w:val="center"/>
            </w:pPr>
            <w:r>
              <w:rPr>
                <w:rFonts w:ascii="Times New Roman" w:cs="Times New Roman" w:eastAsia="Times New Roman" w:hAnsi="Times New Roman"/>
                <w:b/>
                <w:bCs/>
                <w:sz w:val="18"/>
                <w:szCs w:val="18"/>
              </w:rPr>
              <w:t xml:space="preserve">Ensures</w:t>
            </w:r>
          </w:p>
        </w:tc>
        <w:tc>
          <w:tcPr>
            <w:tcW w:type="dxa" w:w="3400"/>
            <w:tcBorders>
              <w:top w:val="single" w:color="000000" w:sz="1"/>
              <w:left w:val="none" w:sz="0"/>
              <w:bottom w:val="single" w:color="000000" w:sz="3"/>
              <w:right w:val="none" w:sz="0"/>
            </w:tcBorders>
            <w:shd w:fill="FFFFFF" w:val="clear"/>
            <w:tcMar>
              <w:top w:type="dxa" w:w="40"/>
              <w:left w:type="dxa" w:w="80"/>
              <w:bottom w:type="dxa" w:w="40"/>
              <w:right w:type="dxa" w:w="80"/>
            </w:tcMar>
          </w:tcPr>
          <w:p>
            <w:pPr>
              <w:jc w:val="center"/>
            </w:pPr>
            <w:r>
              <w:rPr>
                <w:rFonts w:ascii="Times New Roman" w:cs="Times New Roman" w:eastAsia="Times New Roman" w:hAnsi="Times New Roman"/>
                <w:b/>
                <w:bCs/>
                <w:sz w:val="18"/>
                <w:szCs w:val="18"/>
              </w:rPr>
              <w:t xml:space="preserve">RIT Adds</w:t>
            </w:r>
          </w:p>
        </w:tc>
      </w:tr>
      <w:tr>
        <w:tc>
          <w:tcPr>
            <w:tcW w:type="dxa" w:w="3400"/>
            <w:tcBorders>
              <w:top w:val="none" w:sz="0"/>
              <w:left w:val="none" w:sz="0"/>
              <w:bottom w:val="none" w:sz="0"/>
              <w:right w:val="none" w:sz="0"/>
            </w:tcBorders>
            <w:tcMar>
              <w:top w:type="dxa" w:w="40"/>
              <w:left w:type="dxa" w:w="80"/>
              <w:bottom w:type="dxa" w:w="40"/>
              <w:right w:type="dxa" w:w="80"/>
            </w:tcMar>
          </w:tcPr>
          <w:p>
            <w:pPr>
              <w:spacing w:after="40"/>
            </w:pPr>
            <w:r>
              <w:rPr>
                <w:rFonts w:ascii="Times New Roman" w:cs="Times New Roman" w:eastAsia="Times New Roman" w:hAnsi="Times New Roman"/>
                <w:sz w:val="18"/>
                <w:szCs w:val="18"/>
              </w:rPr>
              <w:t xml:space="preserve">SAST</w:t>
            </w:r>
          </w:p>
        </w:tc>
        <w:tc>
          <w:tcPr>
            <w:tcW w:type="dxa" w:w="3200"/>
            <w:tcBorders>
              <w:top w:val="none" w:sz="0"/>
              <w:left w:val="none" w:sz="0"/>
              <w:bottom w:val="none" w:sz="0"/>
              <w:right w:val="none" w:sz="0"/>
            </w:tcBorders>
            <w:tcMar>
              <w:top w:type="dxa" w:w="40"/>
              <w:left w:type="dxa" w:w="80"/>
              <w:bottom w:type="dxa" w:w="40"/>
              <w:right w:type="dxa" w:w="80"/>
            </w:tcMar>
          </w:tcPr>
          <w:p>
            <w:pPr>
              <w:spacing w:after="40"/>
            </w:pPr>
            <w:r>
              <w:rPr>
                <w:rFonts w:ascii="Times New Roman" w:cs="Times New Roman" w:eastAsia="Times New Roman" w:hAnsi="Times New Roman"/>
                <w:sz w:val="18"/>
                <w:szCs w:val="18"/>
              </w:rPr>
              <w:t xml:space="preserve">Safe patterns</w:t>
            </w:r>
          </w:p>
        </w:tc>
        <w:tc>
          <w:tcPr>
            <w:tcW w:type="dxa" w:w="3400"/>
            <w:tcBorders>
              <w:top w:val="none" w:sz="0"/>
              <w:left w:val="none" w:sz="0"/>
              <w:bottom w:val="none" w:sz="0"/>
              <w:right w:val="none" w:sz="0"/>
            </w:tcBorders>
            <w:tcMar>
              <w:top w:type="dxa" w:w="40"/>
              <w:left w:type="dxa" w:w="80"/>
              <w:bottom w:type="dxa" w:w="40"/>
              <w:right w:type="dxa" w:w="80"/>
            </w:tcMar>
          </w:tcPr>
          <w:p>
            <w:pPr>
              <w:spacing w:after="40"/>
            </w:pPr>
            <w:r>
              <w:rPr>
                <w:rFonts w:ascii="Times New Roman" w:cs="Times New Roman" w:eastAsia="Times New Roman" w:hAnsi="Times New Roman"/>
                <w:sz w:val="18"/>
                <w:szCs w:val="18"/>
              </w:rPr>
              <w:t xml:space="preserve">Authorization alignment</w:t>
            </w:r>
          </w:p>
        </w:tc>
      </w:tr>
      <w:tr>
        <w:tc>
          <w:tcPr>
            <w:tcW w:type="dxa" w:w="3400"/>
            <w:tcBorders>
              <w:top w:val="none" w:sz="0"/>
              <w:left w:val="none" w:sz="0"/>
              <w:bottom w:val="none" w:sz="0"/>
              <w:right w:val="none" w:sz="0"/>
            </w:tcBorders>
            <w:tcMar>
              <w:top w:type="dxa" w:w="40"/>
              <w:left w:type="dxa" w:w="80"/>
              <w:bottom w:type="dxa" w:w="40"/>
              <w:right w:type="dxa" w:w="80"/>
            </w:tcMar>
          </w:tcPr>
          <w:p>
            <w:pPr>
              <w:spacing w:after="40"/>
            </w:pPr>
            <w:r>
              <w:rPr>
                <w:rFonts w:ascii="Times New Roman" w:cs="Times New Roman" w:eastAsia="Times New Roman" w:hAnsi="Times New Roman"/>
                <w:sz w:val="18"/>
                <w:szCs w:val="18"/>
              </w:rPr>
              <w:t xml:space="preserve">Formal Verification</w:t>
            </w:r>
          </w:p>
        </w:tc>
        <w:tc>
          <w:tcPr>
            <w:tcW w:type="dxa" w:w="3200"/>
            <w:tcBorders>
              <w:top w:val="none" w:sz="0"/>
              <w:left w:val="none" w:sz="0"/>
              <w:bottom w:val="none" w:sz="0"/>
              <w:right w:val="none" w:sz="0"/>
            </w:tcBorders>
            <w:tcMar>
              <w:top w:type="dxa" w:w="40"/>
              <w:left w:type="dxa" w:w="80"/>
              <w:bottom w:type="dxa" w:w="40"/>
              <w:right w:type="dxa" w:w="80"/>
            </w:tcMar>
          </w:tcPr>
          <w:p>
            <w:pPr>
              <w:spacing w:after="40"/>
            </w:pPr>
            <w:r>
              <w:rPr>
                <w:rFonts w:ascii="Times New Roman" w:cs="Times New Roman" w:eastAsia="Times New Roman" w:hAnsi="Times New Roman"/>
                <w:sz w:val="18"/>
                <w:szCs w:val="18"/>
              </w:rPr>
              <w:t xml:space="preserve">Invariant correctness</w:t>
            </w:r>
          </w:p>
        </w:tc>
        <w:tc>
          <w:tcPr>
            <w:tcW w:type="dxa" w:w="3400"/>
            <w:tcBorders>
              <w:top w:val="none" w:sz="0"/>
              <w:left w:val="none" w:sz="0"/>
              <w:bottom w:val="none" w:sz="0"/>
              <w:right w:val="none" w:sz="0"/>
            </w:tcBorders>
            <w:tcMar>
              <w:top w:type="dxa" w:w="40"/>
              <w:left w:type="dxa" w:w="80"/>
              <w:bottom w:type="dxa" w:w="40"/>
              <w:right w:type="dxa" w:w="80"/>
            </w:tcMar>
          </w:tcPr>
          <w:p>
            <w:pPr>
              <w:spacing w:after="40"/>
            </w:pPr>
            <w:r>
              <w:rPr>
                <w:rFonts w:ascii="Times New Roman" w:cs="Times New Roman" w:eastAsia="Times New Roman" w:hAnsi="Times New Roman"/>
                <w:sz w:val="18"/>
                <w:szCs w:val="18"/>
              </w:rPr>
              <w:t xml:space="preserve">Capability scope enforcement</w:t>
            </w:r>
          </w:p>
        </w:tc>
      </w:tr>
      <w:tr>
        <w:tc>
          <w:tcPr>
            <w:tcW w:type="dxa" w:w="3400"/>
            <w:tcBorders>
              <w:top w:val="none" w:sz="0"/>
              <w:left w:val="none" w:sz="0"/>
              <w:bottom w:val="none" w:sz="0"/>
              <w:right w:val="none" w:sz="0"/>
            </w:tcBorders>
            <w:tcMar>
              <w:top w:type="dxa" w:w="40"/>
              <w:left w:type="dxa" w:w="80"/>
              <w:bottom w:type="dxa" w:w="40"/>
              <w:right w:type="dxa" w:w="80"/>
            </w:tcMar>
          </w:tcPr>
          <w:p>
            <w:pPr>
              <w:spacing w:after="40"/>
            </w:pPr>
            <w:r>
              <w:rPr>
                <w:rFonts w:ascii="Times New Roman" w:cs="Times New Roman" w:eastAsia="Times New Roman" w:hAnsi="Times New Roman"/>
                <w:sz w:val="18"/>
                <w:szCs w:val="18"/>
              </w:rPr>
              <w:t xml:space="preserve">Policy-as-Code</w:t>
            </w:r>
          </w:p>
        </w:tc>
        <w:tc>
          <w:tcPr>
            <w:tcW w:type="dxa" w:w="3200"/>
            <w:tcBorders>
              <w:top w:val="none" w:sz="0"/>
              <w:left w:val="none" w:sz="0"/>
              <w:bottom w:val="none" w:sz="0"/>
              <w:right w:val="none" w:sz="0"/>
            </w:tcBorders>
            <w:tcMar>
              <w:top w:type="dxa" w:w="40"/>
              <w:left w:type="dxa" w:w="80"/>
              <w:bottom w:type="dxa" w:w="40"/>
              <w:right w:type="dxa" w:w="80"/>
            </w:tcMar>
          </w:tcPr>
          <w:p>
            <w:pPr>
              <w:spacing w:after="40"/>
            </w:pPr>
            <w:r>
              <w:rPr>
                <w:rFonts w:ascii="Times New Roman" w:cs="Times New Roman" w:eastAsia="Times New Roman" w:hAnsi="Times New Roman"/>
                <w:sz w:val="18"/>
                <w:szCs w:val="18"/>
              </w:rPr>
              <w:t xml:space="preserve">Infrastructure compliance</w:t>
            </w:r>
          </w:p>
        </w:tc>
        <w:tc>
          <w:tcPr>
            <w:tcW w:type="dxa" w:w="3400"/>
            <w:tcBorders>
              <w:top w:val="none" w:sz="0"/>
              <w:left w:val="none" w:sz="0"/>
              <w:bottom w:val="none" w:sz="0"/>
              <w:right w:val="none" w:sz="0"/>
            </w:tcBorders>
            <w:tcMar>
              <w:top w:type="dxa" w:w="40"/>
              <w:left w:type="dxa" w:w="80"/>
              <w:bottom w:type="dxa" w:w="40"/>
              <w:right w:type="dxa" w:w="80"/>
            </w:tcMar>
          </w:tcPr>
          <w:p>
            <w:pPr>
              <w:spacing w:after="40"/>
            </w:pPr>
            <w:r>
              <w:rPr>
                <w:rFonts w:ascii="Times New Roman" w:cs="Times New Roman" w:eastAsia="Times New Roman" w:hAnsi="Times New Roman"/>
                <w:sz w:val="18"/>
                <w:szCs w:val="18"/>
              </w:rPr>
              <w:t xml:space="preserve">Application behavioral compliance</w:t>
            </w:r>
          </w:p>
        </w:tc>
      </w:tr>
      <w:tr>
        <w:tc>
          <w:tcPr>
            <w:tcW w:type="dxa" w:w="3400"/>
            <w:tcBorders>
              <w:top w:val="none" w:sz="0"/>
              <w:left w:val="none" w:sz="0"/>
              <w:bottom w:val="none" w:sz="0"/>
              <w:right w:val="none" w:sz="0"/>
            </w:tcBorders>
            <w:tcMar>
              <w:top w:type="dxa" w:w="40"/>
              <w:left w:type="dxa" w:w="80"/>
              <w:bottom w:type="dxa" w:w="40"/>
              <w:right w:type="dxa" w:w="80"/>
            </w:tcMar>
          </w:tcPr>
          <w:p>
            <w:pPr>
              <w:spacing w:after="40"/>
            </w:pPr>
            <w:r>
              <w:rPr>
                <w:rFonts w:ascii="Times New Roman" w:cs="Times New Roman" w:eastAsia="Times New Roman" w:hAnsi="Times New Roman"/>
                <w:sz w:val="18"/>
                <w:szCs w:val="18"/>
              </w:rPr>
              <w:t xml:space="preserve">IaC Drift Detection</w:t>
            </w:r>
          </w:p>
        </w:tc>
        <w:tc>
          <w:tcPr>
            <w:tcW w:type="dxa" w:w="3200"/>
            <w:tcBorders>
              <w:top w:val="none" w:sz="0"/>
              <w:left w:val="none" w:sz="0"/>
              <w:bottom w:val="none" w:sz="0"/>
              <w:right w:val="none" w:sz="0"/>
            </w:tcBorders>
            <w:tcMar>
              <w:top w:type="dxa" w:w="40"/>
              <w:left w:type="dxa" w:w="80"/>
              <w:bottom w:type="dxa" w:w="40"/>
              <w:right w:type="dxa" w:w="80"/>
            </w:tcMar>
          </w:tcPr>
          <w:p>
            <w:pPr>
              <w:spacing w:after="40"/>
            </w:pPr>
            <w:r>
              <w:rPr>
                <w:rFonts w:ascii="Times New Roman" w:cs="Times New Roman" w:eastAsia="Times New Roman" w:hAnsi="Times New Roman"/>
                <w:sz w:val="18"/>
                <w:szCs w:val="18"/>
              </w:rPr>
              <w:t xml:space="preserve">Infrastructure changes</w:t>
            </w:r>
          </w:p>
        </w:tc>
        <w:tc>
          <w:tcPr>
            <w:tcW w:type="dxa" w:w="3400"/>
            <w:tcBorders>
              <w:top w:val="none" w:sz="0"/>
              <w:left w:val="none" w:sz="0"/>
              <w:bottom w:val="none" w:sz="0"/>
              <w:right w:val="none" w:sz="0"/>
            </w:tcBorders>
            <w:tcMar>
              <w:top w:type="dxa" w:w="40"/>
              <w:left w:type="dxa" w:w="80"/>
              <w:bottom w:type="dxa" w:w="40"/>
              <w:right w:type="dxa" w:w="80"/>
            </w:tcMar>
          </w:tcPr>
          <w:p>
            <w:pPr>
              <w:spacing w:after="40"/>
            </w:pPr>
            <w:r>
              <w:rPr>
                <w:rFonts w:ascii="Times New Roman" w:cs="Times New Roman" w:eastAsia="Times New Roman" w:hAnsi="Times New Roman"/>
                <w:sz w:val="18"/>
                <w:szCs w:val="18"/>
              </w:rPr>
              <w:t xml:space="preserve">Code-level behavioral drift</w:t>
            </w:r>
          </w:p>
        </w:tc>
      </w:tr>
      <w:tr>
        <w:tc>
          <w:tcPr>
            <w:tcW w:type="dxa" w:w="3400"/>
            <w:tcBorders>
              <w:top w:val="single" w:color="000000" w:sz="3"/>
              <w:left w:val="none" w:sz="0"/>
              <w:bottom w:val="none" w:sz="0"/>
              <w:right w:val="none" w:sz="0"/>
            </w:tcBorders>
            <w:tcMar>
              <w:top w:type="dxa" w:w="0"/>
              <w:left w:type="dxa" w:w="0"/>
              <w:bottom w:type="dxa" w:w="0"/>
              <w:right w:type="dxa" w:w="0"/>
            </w:tcMar>
          </w:tcPr>
          <w:p>
            <w:pPr>
              <w:spacing w:after="0"/>
            </w:pPr>
          </w:p>
        </w:tc>
        <w:tc>
          <w:tcPr>
            <w:tcW w:type="dxa" w:w="3200"/>
            <w:tcBorders>
              <w:top w:val="single" w:color="000000" w:sz="3"/>
              <w:left w:val="none" w:sz="0"/>
              <w:bottom w:val="none" w:sz="0"/>
              <w:right w:val="none" w:sz="0"/>
            </w:tcBorders>
            <w:tcMar>
              <w:top w:type="dxa" w:w="0"/>
              <w:left w:type="dxa" w:w="0"/>
              <w:bottom w:type="dxa" w:w="0"/>
              <w:right w:type="dxa" w:w="0"/>
            </w:tcMar>
          </w:tcPr>
          <w:p>
            <w:pPr>
              <w:spacing w:after="0"/>
            </w:pPr>
          </w:p>
        </w:tc>
        <w:tc>
          <w:tcPr>
            <w:tcW w:type="dxa" w:w="3400"/>
            <w:tcBorders>
              <w:top w:val="single" w:color="000000" w:sz="3"/>
              <w:left w:val="none" w:sz="0"/>
              <w:bottom w:val="none" w:sz="0"/>
              <w:right w:val="none" w:sz="0"/>
            </w:tcBorders>
            <w:tcMar>
              <w:top w:type="dxa" w:w="0"/>
              <w:left w:type="dxa" w:w="0"/>
              <w:bottom w:type="dxa" w:w="0"/>
              <w:right w:type="dxa" w:w="0"/>
            </w:tcMar>
          </w:tcPr>
          <w:p>
            <w:pPr>
              <w:spacing w:after="0"/>
            </w:pPr>
          </w:p>
        </w:tc>
      </w:tr>
    </w:tbl>
    <w:p>
      <w:pPr>
        <w:spacing w:after="160"/>
      </w:pPr>
    </w:p>
    <w:p>
      <w:pPr>
        <w:spacing w:after="120" w:line="240"/>
        <w:ind w:firstLine="288"/>
        <w:jc w:val="both"/>
      </w:pPr>
      <w:r>
        <w:rPr>
          <w:rFonts w:ascii="Times New Roman" w:cs="Times New Roman" w:eastAsia="Times New Roman" w:hAnsi="Times New Roman"/>
          <w:sz w:val="20"/>
          <w:szCs w:val="20"/>
        </w:rPr>
        <w:t xml:space="preserve">The distinguishing characteristic of RIT is its focus on behavioral authorization rather than behavioral correctness. Existing tools ensure that code does what it should; RIT ensures that code does only what it is authorized to do.</w:t>
      </w:r>
    </w:p>
    <w:p>
      <w:pPr>
        <w:spacing w:before="280" w:after="160"/>
        <w:jc w:val="center"/>
      </w:pPr>
      <w:r>
        <w:rPr>
          <w:rFonts w:ascii="Times New Roman" w:cs="Times New Roman" w:eastAsia="Times New Roman" w:hAnsi="Times New Roman"/>
          <w:b/>
          <w:bCs/>
          <w:sz w:val="20"/>
          <w:szCs w:val="20"/>
        </w:rPr>
        <w:t xml:space="preserve">IX. APPLICATION DOMAINS</w:t>
      </w:r>
    </w:p>
    <w:p>
      <w:pPr>
        <w:spacing w:before="200" w:after="100"/>
      </w:pPr>
      <w:r>
        <w:rPr>
          <w:rFonts w:ascii="Times New Roman" w:cs="Times New Roman" w:eastAsia="Times New Roman" w:hAnsi="Times New Roman"/>
          <w:b/>
          <w:bCs/>
          <w:i/>
          <w:iCs/>
          <w:sz w:val="20"/>
          <w:szCs w:val="20"/>
        </w:rPr>
        <w:t xml:space="preserve">A. </w:t>
      </w:r>
      <w:r>
        <w:rPr>
          <w:rFonts w:ascii="Times New Roman" w:cs="Times New Roman" w:eastAsia="Times New Roman" w:hAnsi="Times New Roman"/>
          <w:i/>
          <w:iCs/>
          <w:sz w:val="20"/>
          <w:szCs w:val="20"/>
        </w:rPr>
        <w:t xml:space="preserve">Regulated Environments</w:t>
      </w:r>
    </w:p>
    <w:p>
      <w:pPr>
        <w:spacing w:after="120" w:line="240"/>
        <w:ind/>
        <w:jc w:val="both"/>
      </w:pPr>
      <w:r>
        <w:rPr>
          <w:rFonts w:ascii="Times New Roman" w:cs="Times New Roman" w:eastAsia="Times New Roman" w:hAnsi="Times New Roman"/>
          <w:sz w:val="20"/>
          <w:szCs w:val="20"/>
        </w:rPr>
        <w:t xml:space="preserve">Finance systems requiring authorization traceability, healthcare software operating under compliance frameworks such as HIPAA and FDA regulations, and defense or government contractor systems subject to rigorous security accreditation represent primary deployment targets. RIT provides deterministic evidence of plan-to-implementation alignment that supports compliance auditing.</w:t>
      </w:r>
    </w:p>
    <w:p>
      <w:pPr>
        <w:spacing w:before="200" w:after="100"/>
      </w:pPr>
      <w:r>
        <w:rPr>
          <w:rFonts w:ascii="Times New Roman" w:cs="Times New Roman" w:eastAsia="Times New Roman" w:hAnsi="Times New Roman"/>
          <w:b/>
          <w:bCs/>
          <w:i/>
          <w:iCs/>
          <w:sz w:val="20"/>
          <w:szCs w:val="20"/>
        </w:rPr>
        <w:t xml:space="preserve">B. </w:t>
      </w:r>
      <w:r>
        <w:rPr>
          <w:rFonts w:ascii="Times New Roman" w:cs="Times New Roman" w:eastAsia="Times New Roman" w:hAnsi="Times New Roman"/>
          <w:i/>
          <w:iCs/>
          <w:sz w:val="20"/>
          <w:szCs w:val="20"/>
        </w:rPr>
        <w:t xml:space="preserve">AI-Native Engineering Organizations</w:t>
      </w:r>
    </w:p>
    <w:p>
      <w:pPr>
        <w:spacing w:after="120" w:line="240"/>
        <w:ind/>
        <w:jc w:val="both"/>
      </w:pPr>
      <w:r>
        <w:rPr>
          <w:rFonts w:ascii="Times New Roman" w:cs="Times New Roman" w:eastAsia="Times New Roman" w:hAnsi="Times New Roman"/>
          <w:sz w:val="20"/>
          <w:szCs w:val="20"/>
        </w:rPr>
        <w:t xml:space="preserve">Organizations employing multi-agent build pipelines, autonomous refactoring systems, or high-velocity microservice architectures face the governance gap that RIT addresses directly. As AI autonomy in the development process increases, the need for deterministic behavioral governance becomes proportionally critical.</w:t>
      </w:r>
    </w:p>
    <w:p>
      <w:pPr>
        <w:spacing w:before="200" w:after="100"/>
      </w:pPr>
      <w:r>
        <w:rPr>
          <w:rFonts w:ascii="Times New Roman" w:cs="Times New Roman" w:eastAsia="Times New Roman" w:hAnsi="Times New Roman"/>
          <w:b/>
          <w:bCs/>
          <w:i/>
          <w:iCs/>
          <w:sz w:val="20"/>
          <w:szCs w:val="20"/>
        </w:rPr>
        <w:t xml:space="preserve">C. </w:t>
      </w:r>
      <w:r>
        <w:rPr>
          <w:rFonts w:ascii="Times New Roman" w:cs="Times New Roman" w:eastAsia="Times New Roman" w:hAnsi="Times New Roman"/>
          <w:i/>
          <w:iCs/>
          <w:sz w:val="20"/>
          <w:szCs w:val="20"/>
        </w:rPr>
        <w:t xml:space="preserve">Governance-First Architectures</w:t>
      </w:r>
    </w:p>
    <w:p>
      <w:pPr>
        <w:spacing w:after="120" w:line="240"/>
        <w:ind/>
        <w:jc w:val="both"/>
      </w:pPr>
      <w:r>
        <w:rPr>
          <w:rFonts w:ascii="Times New Roman" w:cs="Times New Roman" w:eastAsia="Times New Roman" w:hAnsi="Times New Roman"/>
          <w:sz w:val="20"/>
          <w:szCs w:val="20"/>
        </w:rPr>
        <w:t xml:space="preserve">Systems designed with fail-closed and audit-traceable principles as foundational requirements benefit directly from deterministic intent alignment. RIT integrates naturally with governance-first architectures where authorization enforcement is a runtime property rather than a convention.</w:t>
      </w:r>
    </w:p>
    <w:p>
      <w:pPr>
        <w:spacing w:before="280" w:after="160"/>
        <w:jc w:val="center"/>
      </w:pPr>
      <w:r>
        <w:rPr>
          <w:rFonts w:ascii="Times New Roman" w:cs="Times New Roman" w:eastAsia="Times New Roman" w:hAnsi="Times New Roman"/>
          <w:b/>
          <w:bCs/>
          <w:sz w:val="20"/>
          <w:szCs w:val="20"/>
        </w:rPr>
        <w:t xml:space="preserve">X. LIMITATIONS AND BOUNDARIES</w:t>
      </w:r>
    </w:p>
    <w:p>
      <w:pPr>
        <w:spacing w:after="120" w:line="240"/>
        <w:ind/>
        <w:jc w:val="both"/>
      </w:pPr>
      <w:r>
        <w:rPr>
          <w:rFonts w:ascii="Times New Roman" w:cs="Times New Roman" w:eastAsia="Times New Roman" w:hAnsi="Times New Roman"/>
          <w:sz w:val="20"/>
          <w:szCs w:val="20"/>
        </w:rPr>
        <w:t xml:space="preserve">RIT operates within defined boundaries that practitioners must understand for effective deployment. The framework does not prove semantic equivalence between planned and implemented behavior. It does not eliminate all false positives, as detector coverage limitations may produce both over- and under-reporting. It does not replace human architectural judgment for design decisions.</w:t>
      </w:r>
    </w:p>
    <w:p>
      <w:pPr>
        <w:spacing w:after="120" w:line="240"/>
        <w:ind w:firstLine="288"/>
        <w:jc w:val="both"/>
      </w:pPr>
      <w:r>
        <w:rPr>
          <w:rFonts w:ascii="Times New Roman" w:cs="Times New Roman" w:eastAsia="Times New Roman" w:hAnsi="Times New Roman"/>
          <w:sz w:val="20"/>
          <w:szCs w:val="20"/>
        </w:rPr>
        <w:t xml:space="preserve">The fidelity of the Expected Intent Signature is directly dependent on Build Plan quality. Underspecified or ambiguous plans produce weak authorization baselines, reducing the discriminative power of drift detection. Similarly, the completeness of the Observed Intent Signature depends on detector coverage; uncovered capability dimensions represent governance blind spots.</w:t>
      </w:r>
    </w:p>
    <w:p>
      <w:pPr>
        <w:spacing w:after="120" w:line="240"/>
        <w:ind w:firstLine="288"/>
        <w:jc w:val="both"/>
      </w:pPr>
      <w:r>
        <w:rPr>
          <w:rFonts w:ascii="Times New Roman" w:cs="Times New Roman" w:eastAsia="Times New Roman" w:hAnsi="Times New Roman"/>
          <w:sz w:val="20"/>
          <w:szCs w:val="20"/>
        </w:rPr>
        <w:t xml:space="preserve">RIT is conservative by design. The framework preferentially errs toward false positives rather than false negatives, reflecting the security principle that unauthorized capability expansion represents a greater risk than unnecessary review cycles.</w:t>
      </w:r>
    </w:p>
    <w:p>
      <w:pPr>
        <w:spacing w:before="280" w:after="160"/>
        <w:jc w:val="center"/>
      </w:pPr>
      <w:r>
        <w:rPr>
          <w:rFonts w:ascii="Times New Roman" w:cs="Times New Roman" w:eastAsia="Times New Roman" w:hAnsi="Times New Roman"/>
          <w:b/>
          <w:bCs/>
          <w:sz w:val="20"/>
          <w:szCs w:val="20"/>
        </w:rPr>
        <w:t xml:space="preserve">XI. IMPLEMENTATION ROADMAP</w:t>
      </w:r>
    </w:p>
    <w:p>
      <w:pPr>
        <w:spacing w:after="120" w:line="240"/>
        <w:ind/>
        <w:jc w:val="both"/>
      </w:pPr>
      <w:r>
        <w:rPr>
          <w:rFonts w:ascii="Times New Roman" w:cs="Times New Roman" w:eastAsia="Times New Roman" w:hAnsi="Times New Roman"/>
          <w:sz w:val="20"/>
          <w:szCs w:val="20"/>
        </w:rPr>
        <w:t xml:space="preserve">The RIT implementation follows a phased approach that incrementally expands capability coverage while preserving deterministic gating as a non-negotiable constraint at each phase.</w:t>
      </w:r>
    </w:p>
    <w:p>
      <w:pPr>
        <w:spacing w:after="120" w:line="240"/>
        <w:ind w:firstLine="288"/>
        <w:jc w:val="both"/>
      </w:pPr>
      <w:r>
        <w:rPr>
          <w:rFonts w:ascii="Times New Roman" w:cs="Times New Roman" w:eastAsia="Times New Roman" w:hAnsi="Times New Roman"/>
          <w:b/>
          <w:bCs/>
          <w:sz w:val="20"/>
          <w:szCs w:val="20"/>
        </w:rPr>
        <w:t xml:space="preserve">Phase 0 </w:t>
      </w:r>
      <w:r>
        <w:rPr>
          <w:rFonts w:ascii="Times New Roman" w:cs="Times New Roman" w:eastAsia="Times New Roman" w:hAnsi="Times New Roman"/>
          <w:sz w:val="20"/>
          <w:szCs w:val="20"/>
        </w:rPr>
        <w:t xml:space="preserve">establishes the Plan Compiler and core capability drift detection within a single repository pilot. This phase validates the fundamental pipeline architecture and gating mechanics.</w:t>
      </w:r>
    </w:p>
    <w:p>
      <w:pPr>
        <w:spacing w:after="120" w:line="240"/>
        <w:ind w:firstLine="288"/>
        <w:jc w:val="both"/>
      </w:pPr>
      <w:r>
        <w:rPr>
          <w:rFonts w:ascii="Times New Roman" w:cs="Times New Roman" w:eastAsia="Times New Roman" w:hAnsi="Times New Roman"/>
          <w:b/>
          <w:bCs/>
          <w:sz w:val="20"/>
          <w:szCs w:val="20"/>
        </w:rPr>
        <w:t xml:space="preserve">Phase 1 </w:t>
      </w:r>
      <w:r>
        <w:rPr>
          <w:rFonts w:ascii="Times New Roman" w:cs="Times New Roman" w:eastAsia="Times New Roman" w:hAnsi="Times New Roman"/>
          <w:sz w:val="20"/>
          <w:szCs w:val="20"/>
        </w:rPr>
        <w:t xml:space="preserve">introduces policy awareness and interface surface analysis, enabling detection of authorization regressions and API surface expansion.</w:t>
      </w:r>
    </w:p>
    <w:p>
      <w:pPr>
        <w:spacing w:after="120" w:line="240"/>
        <w:ind w:firstLine="288"/>
        <w:jc w:val="both"/>
      </w:pPr>
      <w:r>
        <w:rPr>
          <w:rFonts w:ascii="Times New Roman" w:cs="Times New Roman" w:eastAsia="Times New Roman" w:hAnsi="Times New Roman"/>
          <w:b/>
          <w:bCs/>
          <w:sz w:val="20"/>
          <w:szCs w:val="20"/>
        </w:rPr>
        <w:t xml:space="preserve">Phase 2 </w:t>
      </w:r>
      <w:r>
        <w:rPr>
          <w:rFonts w:ascii="Times New Roman" w:cs="Times New Roman" w:eastAsia="Times New Roman" w:hAnsi="Times New Roman"/>
          <w:sz w:val="20"/>
          <w:szCs w:val="20"/>
        </w:rPr>
        <w:t xml:space="preserve">adds dataflow risk analysis and the negotiation layer, providing richer contextual information for human review of drift findings.</w:t>
      </w:r>
    </w:p>
    <w:p>
      <w:pPr>
        <w:spacing w:after="120" w:line="240"/>
        <w:ind w:firstLine="288"/>
        <w:jc w:val="both"/>
      </w:pPr>
      <w:r>
        <w:rPr>
          <w:rFonts w:ascii="Times New Roman" w:cs="Times New Roman" w:eastAsia="Times New Roman" w:hAnsi="Times New Roman"/>
          <w:b/>
          <w:bCs/>
          <w:sz w:val="20"/>
          <w:szCs w:val="20"/>
        </w:rPr>
        <w:t xml:space="preserve">Phase 3 </w:t>
      </w:r>
      <w:r>
        <w:rPr>
          <w:rFonts w:ascii="Times New Roman" w:cs="Times New Roman" w:eastAsia="Times New Roman" w:hAnsi="Times New Roman"/>
          <w:sz w:val="20"/>
          <w:szCs w:val="20"/>
        </w:rPr>
        <w:t xml:space="preserve">extends RIT to cross-repository intent chains, enabling behavioral authorization tracking across service boundaries in distributed systems.</w:t>
      </w:r>
    </w:p>
    <w:p>
      <w:pPr>
        <w:spacing w:before="280" w:after="160"/>
        <w:jc w:val="center"/>
      </w:pPr>
      <w:r>
        <w:rPr>
          <w:rFonts w:ascii="Times New Roman" w:cs="Times New Roman" w:eastAsia="Times New Roman" w:hAnsi="Times New Roman"/>
          <w:b/>
          <w:bCs/>
          <w:sz w:val="20"/>
          <w:szCs w:val="20"/>
        </w:rPr>
        <w:t xml:space="preserve">XII. FUTURE RESEARCH DIRECTIONS</w:t>
      </w:r>
    </w:p>
    <w:p>
      <w:pPr>
        <w:spacing w:after="120" w:line="240"/>
        <w:ind/>
        <w:jc w:val="both"/>
      </w:pPr>
      <w:r>
        <w:rPr>
          <w:rFonts w:ascii="Times New Roman" w:cs="Times New Roman" w:eastAsia="Times New Roman" w:hAnsi="Times New Roman"/>
          <w:sz w:val="20"/>
          <w:szCs w:val="20"/>
        </w:rPr>
        <w:t xml:space="preserve">Several research directions emerge from the RIT framework. Plan-first domain-specific languages (DSLs) for machine-verifiable authorization specification would strengthen Expected Intent Signature fidelity. Cross-repository intent propagation graphs would enable behavioral governance across distributed system boundaries. Drift trend analytics and predictive governance could identify systemic authorization erosion before critical thresholds are reached.</w:t>
      </w:r>
    </w:p>
    <w:p>
      <w:pPr>
        <w:spacing w:after="120" w:line="240"/>
        <w:ind w:firstLine="288"/>
        <w:jc w:val="both"/>
      </w:pPr>
      <w:r>
        <w:rPr>
          <w:rFonts w:ascii="Times New Roman" w:cs="Times New Roman" w:eastAsia="Times New Roman" w:hAnsi="Times New Roman"/>
          <w:sz w:val="20"/>
          <w:szCs w:val="20"/>
        </w:rPr>
        <w:t xml:space="preserve">Cryptographically signed plan-to-code alignment proofs would provide non-repudiable evidence of authorization compliance. AI self-auditing execution pipelines represent a particularly promising direction wherein AI systems participating in development also contribute to governance verification, creating a closed-loop authorization enforcement architecture.</w:t>
      </w:r>
    </w:p>
    <w:p>
      <w:pPr>
        <w:spacing w:before="280" w:after="160"/>
        <w:jc w:val="center"/>
      </w:pPr>
      <w:r>
        <w:rPr>
          <w:rFonts w:ascii="Times New Roman" w:cs="Times New Roman" w:eastAsia="Times New Roman" w:hAnsi="Times New Roman"/>
          <w:b/>
          <w:bCs/>
          <w:sz w:val="20"/>
          <w:szCs w:val="20"/>
        </w:rPr>
        <w:t xml:space="preserve">XIII. CONCLUSION</w:t>
      </w:r>
    </w:p>
    <w:p>
      <w:pPr>
        <w:spacing w:after="120" w:line="240"/>
        <w:ind/>
        <w:jc w:val="both"/>
      </w:pPr>
      <w:r>
        <w:rPr>
          <w:rFonts w:ascii="Times New Roman" w:cs="Times New Roman" w:eastAsia="Times New Roman" w:hAnsi="Times New Roman"/>
          <w:sz w:val="20"/>
          <w:szCs w:val="20"/>
        </w:rPr>
        <w:t xml:space="preserve">AI-assisted software development accelerates implementation velocity but introduces a governance gap that existing tooling does not address. The risk is not that AI systems produce incorrect code; the risk is that they produce correct code with unauthorized capabilities.</w:t>
      </w:r>
    </w:p>
    <w:p>
      <w:pPr>
        <w:spacing w:after="120" w:line="240"/>
        <w:ind w:firstLine="288"/>
        <w:jc w:val="both"/>
      </w:pPr>
      <w:r>
        <w:rPr>
          <w:rFonts w:ascii="Times New Roman" w:cs="Times New Roman" w:eastAsia="Times New Roman" w:hAnsi="Times New Roman"/>
          <w:sz w:val="20"/>
          <w:szCs w:val="20"/>
        </w:rPr>
        <w:t xml:space="preserve">Reverse Intent Tracking introduces deterministic behavioral authorization enforcement for AI-assisted development environments. Through formal comparison of Expected and Observed Intent Signatures, RIT computes measurable Intent Drift and enforces fail-closed gating policies supported by tamper-evident audit evidence.</w:t>
      </w:r>
    </w:p>
    <w:p>
      <w:pPr>
        <w:spacing w:after="120" w:line="240"/>
        <w:ind w:firstLine="288"/>
        <w:jc w:val="both"/>
      </w:pPr>
      <w:r>
        <w:rPr>
          <w:rFonts w:ascii="Times New Roman" w:cs="Times New Roman" w:eastAsia="Times New Roman" w:hAnsi="Times New Roman"/>
          <w:sz w:val="20"/>
          <w:szCs w:val="20"/>
        </w:rPr>
        <w:t xml:space="preserve">RIT does not measure correctness. It does not measure style. It measures authorization alignment. As AI autonomy in software development increases, governance must become explicit, deterministic, and fail-closed. Reverse Intent Tracking defines that governance model.</w:t>
      </w:r>
    </w:p>
    <w:p>
      <w:pPr>
        <w:spacing w:before="360" w:after="200"/>
        <w:jc w:val="center"/>
      </w:pPr>
      <w:r>
        <w:rPr>
          <w:rFonts w:ascii="Times New Roman" w:cs="Times New Roman" w:eastAsia="Times New Roman" w:hAnsi="Times New Roman"/>
          <w:b/>
          <w:bCs/>
          <w:sz w:val="20"/>
          <w:szCs w:val="20"/>
        </w:rPr>
        <w:t xml:space="preserve">REFERENCES</w:t>
      </w:r>
    </w:p>
    <w:p>
      <w:pPr>
        <w:spacing w:after="80" w:line="240"/>
        <w:ind w:left="360" w:hanging="360"/>
      </w:pPr>
      <w:r>
        <w:rPr>
          <w:rFonts w:ascii="Times New Roman" w:cs="Times New Roman" w:eastAsia="Times New Roman" w:hAnsi="Times New Roman"/>
          <w:sz w:val="18"/>
          <w:szCs w:val="18"/>
        </w:rPr>
        <w:t xml:space="preserve">[1] </w:t>
      </w:r>
      <w:r>
        <w:rPr>
          <w:rFonts w:ascii="Times New Roman" w:cs="Times New Roman" w:eastAsia="Times New Roman" w:hAnsi="Times New Roman"/>
          <w:sz w:val="18"/>
          <w:szCs w:val="18"/>
        </w:rPr>
        <w:t xml:space="preserve">M. Amodei et al., </w:t>
      </w:r>
      <w:r>
        <w:rPr>
          <w:rFonts w:ascii="Times New Roman" w:cs="Times New Roman" w:eastAsia="Times New Roman" w:hAnsi="Times New Roman"/>
          <w:i/>
          <w:iCs/>
          <w:sz w:val="18"/>
          <w:szCs w:val="18"/>
        </w:rPr>
        <w:t xml:space="preserve">“Concrete Problems in AI Safety,” </w:t>
      </w:r>
      <w:r>
        <w:rPr>
          <w:rFonts w:ascii="Times New Roman" w:cs="Times New Roman" w:eastAsia="Times New Roman" w:hAnsi="Times New Roman"/>
          <w:sz w:val="18"/>
          <w:szCs w:val="18"/>
        </w:rPr>
        <w:t xml:space="preserve">arXiv preprint arXiv:1606.06565, 2016.</w:t>
      </w:r>
    </w:p>
    <w:p>
      <w:pPr>
        <w:spacing w:after="80" w:line="240"/>
        <w:ind w:left="360" w:hanging="360"/>
      </w:pPr>
      <w:r>
        <w:rPr>
          <w:rFonts w:ascii="Times New Roman" w:cs="Times New Roman" w:eastAsia="Times New Roman" w:hAnsi="Times New Roman"/>
          <w:sz w:val="18"/>
          <w:szCs w:val="18"/>
        </w:rPr>
        <w:t xml:space="preserve">[2] </w:t>
      </w:r>
      <w:r>
        <w:rPr>
          <w:rFonts w:ascii="Times New Roman" w:cs="Times New Roman" w:eastAsia="Times New Roman" w:hAnsi="Times New Roman"/>
          <w:sz w:val="18"/>
          <w:szCs w:val="18"/>
        </w:rPr>
        <w:t xml:space="preserve">N. Carlini et al., </w:t>
      </w:r>
      <w:r>
        <w:rPr>
          <w:rFonts w:ascii="Times New Roman" w:cs="Times New Roman" w:eastAsia="Times New Roman" w:hAnsi="Times New Roman"/>
          <w:i/>
          <w:iCs/>
          <w:sz w:val="18"/>
          <w:szCs w:val="18"/>
        </w:rPr>
        <w:t xml:space="preserve">“Extracting Training Data from Large Language Models,” </w:t>
      </w:r>
      <w:r>
        <w:rPr>
          <w:rFonts w:ascii="Times New Roman" w:cs="Times New Roman" w:eastAsia="Times New Roman" w:hAnsi="Times New Roman"/>
          <w:sz w:val="18"/>
          <w:szCs w:val="18"/>
        </w:rPr>
        <w:t xml:space="preserve">in Proc. USENIX Security Symposium, 2021.</w:t>
      </w:r>
    </w:p>
    <w:p>
      <w:pPr>
        <w:spacing w:after="80" w:line="240"/>
        <w:ind w:left="360" w:hanging="360"/>
      </w:pPr>
      <w:r>
        <w:rPr>
          <w:rFonts w:ascii="Times New Roman" w:cs="Times New Roman" w:eastAsia="Times New Roman" w:hAnsi="Times New Roman"/>
          <w:sz w:val="18"/>
          <w:szCs w:val="18"/>
        </w:rPr>
        <w:t xml:space="preserve">[3] </w:t>
      </w:r>
      <w:r>
        <w:rPr>
          <w:rFonts w:ascii="Times New Roman" w:cs="Times New Roman" w:eastAsia="Times New Roman" w:hAnsi="Times New Roman"/>
          <w:sz w:val="18"/>
          <w:szCs w:val="18"/>
        </w:rPr>
        <w:t xml:space="preserve">NIST, </w:t>
      </w:r>
      <w:r>
        <w:rPr>
          <w:rFonts w:ascii="Times New Roman" w:cs="Times New Roman" w:eastAsia="Times New Roman" w:hAnsi="Times New Roman"/>
          <w:i/>
          <w:iCs/>
          <w:sz w:val="18"/>
          <w:szCs w:val="18"/>
        </w:rPr>
        <w:t xml:space="preserve">“AI Risk Management Framework (AI RMF 1.0),” </w:t>
      </w:r>
      <w:r>
        <w:rPr>
          <w:rFonts w:ascii="Times New Roman" w:cs="Times New Roman" w:eastAsia="Times New Roman" w:hAnsi="Times New Roman"/>
          <w:sz w:val="18"/>
          <w:szCs w:val="18"/>
        </w:rPr>
        <w:t xml:space="preserve">National Institute of Standards and Technology, 2023.</w:t>
      </w:r>
    </w:p>
    <w:p>
      <w:pPr>
        <w:spacing w:after="80" w:line="240"/>
        <w:ind w:left="360" w:hanging="360"/>
      </w:pPr>
      <w:r>
        <w:rPr>
          <w:rFonts w:ascii="Times New Roman" w:cs="Times New Roman" w:eastAsia="Times New Roman" w:hAnsi="Times New Roman"/>
          <w:sz w:val="18"/>
          <w:szCs w:val="18"/>
        </w:rPr>
        <w:t xml:space="preserve">[4] </w:t>
      </w:r>
      <w:r>
        <w:rPr>
          <w:rFonts w:ascii="Times New Roman" w:cs="Times New Roman" w:eastAsia="Times New Roman" w:hAnsi="Times New Roman"/>
          <w:sz w:val="18"/>
          <w:szCs w:val="18"/>
        </w:rPr>
        <w:t xml:space="preserve">C. Sadowski, E. Söderberg, L. Church, M. Sipko, and A. Bacchelli, </w:t>
      </w:r>
      <w:r>
        <w:rPr>
          <w:rFonts w:ascii="Times New Roman" w:cs="Times New Roman" w:eastAsia="Times New Roman" w:hAnsi="Times New Roman"/>
          <w:i/>
          <w:iCs/>
          <w:sz w:val="18"/>
          <w:szCs w:val="18"/>
        </w:rPr>
        <w:t xml:space="preserve">“Modern Code Review: A Case Study at Google,” </w:t>
      </w:r>
      <w:r>
        <w:rPr>
          <w:rFonts w:ascii="Times New Roman" w:cs="Times New Roman" w:eastAsia="Times New Roman" w:hAnsi="Times New Roman"/>
          <w:sz w:val="18"/>
          <w:szCs w:val="18"/>
        </w:rPr>
        <w:t xml:space="preserve">in Proc. ACM/IEEE International Conference on Software Engineering, 2018.</w:t>
      </w:r>
    </w:p>
    <w:p>
      <w:pPr>
        <w:spacing w:after="80" w:line="240"/>
        <w:ind w:left="360" w:hanging="360"/>
      </w:pPr>
      <w:r>
        <w:rPr>
          <w:rFonts w:ascii="Times New Roman" w:cs="Times New Roman" w:eastAsia="Times New Roman" w:hAnsi="Times New Roman"/>
          <w:sz w:val="18"/>
          <w:szCs w:val="18"/>
        </w:rPr>
        <w:t xml:space="preserve">[5] </w:t>
      </w:r>
      <w:r>
        <w:rPr>
          <w:rFonts w:ascii="Times New Roman" w:cs="Times New Roman" w:eastAsia="Times New Roman" w:hAnsi="Times New Roman"/>
          <w:sz w:val="18"/>
          <w:szCs w:val="18"/>
        </w:rPr>
        <w:t xml:space="preserve">M. Howard and S. Lipner, </w:t>
      </w:r>
      <w:r>
        <w:rPr>
          <w:rFonts w:ascii="Times New Roman" w:cs="Times New Roman" w:eastAsia="Times New Roman" w:hAnsi="Times New Roman"/>
          <w:i/>
          <w:iCs/>
          <w:sz w:val="18"/>
          <w:szCs w:val="18"/>
        </w:rPr>
        <w:t xml:space="preserve">The Security Development Lifecycle, </w:t>
      </w:r>
      <w:r>
        <w:rPr>
          <w:rFonts w:ascii="Times New Roman" w:cs="Times New Roman" w:eastAsia="Times New Roman" w:hAnsi="Times New Roman"/>
          <w:sz w:val="18"/>
          <w:szCs w:val="18"/>
        </w:rPr>
        <w:t xml:space="preserve">Redmond, WA, USA: Microsoft Press, 2006.</w:t>
      </w:r>
    </w:p>
    <w:p>
      <w:pPr>
        <w:spacing w:after="80" w:line="240"/>
        <w:ind w:left="360" w:hanging="360"/>
      </w:pPr>
      <w:r>
        <w:rPr>
          <w:rFonts w:ascii="Times New Roman" w:cs="Times New Roman" w:eastAsia="Times New Roman" w:hAnsi="Times New Roman"/>
          <w:sz w:val="18"/>
          <w:szCs w:val="18"/>
        </w:rPr>
        <w:t xml:space="preserve">[6] </w:t>
      </w:r>
      <w:r>
        <w:rPr>
          <w:rFonts w:ascii="Times New Roman" w:cs="Times New Roman" w:eastAsia="Times New Roman" w:hAnsi="Times New Roman"/>
          <w:sz w:val="18"/>
          <w:szCs w:val="18"/>
        </w:rPr>
        <w:t xml:space="preserve">B. Chess and G. McGraw, </w:t>
      </w:r>
      <w:r>
        <w:rPr>
          <w:rFonts w:ascii="Times New Roman" w:cs="Times New Roman" w:eastAsia="Times New Roman" w:hAnsi="Times New Roman"/>
          <w:i/>
          <w:iCs/>
          <w:sz w:val="18"/>
          <w:szCs w:val="18"/>
        </w:rPr>
        <w:t xml:space="preserve">“Static Analysis for Security,” </w:t>
      </w:r>
      <w:r>
        <w:rPr>
          <w:rFonts w:ascii="Times New Roman" w:cs="Times New Roman" w:eastAsia="Times New Roman" w:hAnsi="Times New Roman"/>
          <w:sz w:val="18"/>
          <w:szCs w:val="18"/>
        </w:rPr>
        <w:t xml:space="preserve">IEEE Security &amp; Privacy, vol. 2, no. 6, pp. 76–79, 2004.</w:t>
      </w:r>
    </w:p>
    <w:p>
      <w:pPr>
        <w:spacing w:after="80" w:line="240"/>
        <w:ind w:left="360" w:hanging="360"/>
      </w:pPr>
      <w:r>
        <w:rPr>
          <w:rFonts w:ascii="Times New Roman" w:cs="Times New Roman" w:eastAsia="Times New Roman" w:hAnsi="Times New Roman"/>
          <w:sz w:val="18"/>
          <w:szCs w:val="18"/>
        </w:rPr>
        <w:t xml:space="preserve">[7] </w:t>
      </w:r>
      <w:r>
        <w:rPr>
          <w:rFonts w:ascii="Times New Roman" w:cs="Times New Roman" w:eastAsia="Times New Roman" w:hAnsi="Times New Roman"/>
          <w:sz w:val="18"/>
          <w:szCs w:val="18"/>
        </w:rPr>
        <w:t xml:space="preserve">E. M. Clarke, O. Grumberg, and D. A. Peled, </w:t>
      </w:r>
      <w:r>
        <w:rPr>
          <w:rFonts w:ascii="Times New Roman" w:cs="Times New Roman" w:eastAsia="Times New Roman" w:hAnsi="Times New Roman"/>
          <w:i/>
          <w:iCs/>
          <w:sz w:val="18"/>
          <w:szCs w:val="18"/>
        </w:rPr>
        <w:t xml:space="preserve">Model Checking, </w:t>
      </w:r>
      <w:r>
        <w:rPr>
          <w:rFonts w:ascii="Times New Roman" w:cs="Times New Roman" w:eastAsia="Times New Roman" w:hAnsi="Times New Roman"/>
          <w:sz w:val="18"/>
          <w:szCs w:val="18"/>
        </w:rPr>
        <w:t xml:space="preserve">Cambridge, MA, USA: MIT Press, 1999.</w:t>
      </w:r>
    </w:p>
    <w:p>
      <w:pPr>
        <w:spacing w:after="80" w:line="240"/>
        <w:ind w:left="360" w:hanging="360"/>
      </w:pPr>
      <w:r>
        <w:rPr>
          <w:rFonts w:ascii="Times New Roman" w:cs="Times New Roman" w:eastAsia="Times New Roman" w:hAnsi="Times New Roman"/>
          <w:sz w:val="18"/>
          <w:szCs w:val="18"/>
        </w:rPr>
        <w:t xml:space="preserve">[8] </w:t>
      </w:r>
      <w:r>
        <w:rPr>
          <w:rFonts w:ascii="Times New Roman" w:cs="Times New Roman" w:eastAsia="Times New Roman" w:hAnsi="Times New Roman"/>
          <w:sz w:val="18"/>
          <w:szCs w:val="18"/>
        </w:rPr>
        <w:t xml:space="preserve">EU AI Act, </w:t>
      </w:r>
      <w:r>
        <w:rPr>
          <w:rFonts w:ascii="Times New Roman" w:cs="Times New Roman" w:eastAsia="Times New Roman" w:hAnsi="Times New Roman"/>
          <w:i/>
          <w:iCs/>
          <w:sz w:val="18"/>
          <w:szCs w:val="18"/>
        </w:rPr>
        <w:t xml:space="preserve">“Regulation (EU) 2024/1689 Laying Down Harmonised Rules on Artificial Intelligence,” </w:t>
      </w:r>
      <w:r>
        <w:rPr>
          <w:rFonts w:ascii="Times New Roman" w:cs="Times New Roman" w:eastAsia="Times New Roman" w:hAnsi="Times New Roman"/>
          <w:sz w:val="18"/>
          <w:szCs w:val="18"/>
        </w:rPr>
        <w:t xml:space="preserve">Official Journal of the European Union, 2024.</w:t>
      </w:r>
    </w:p>
    <w:p>
      <w:pPr>
        <w:spacing w:after="80" w:line="240"/>
        <w:ind w:left="360" w:hanging="360"/>
      </w:pPr>
      <w:r>
        <w:rPr>
          <w:rFonts w:ascii="Times New Roman" w:cs="Times New Roman" w:eastAsia="Times New Roman" w:hAnsi="Times New Roman"/>
          <w:sz w:val="18"/>
          <w:szCs w:val="18"/>
        </w:rPr>
        <w:t xml:space="preserve">[9] </w:t>
      </w:r>
      <w:r>
        <w:rPr>
          <w:rFonts w:ascii="Times New Roman" w:cs="Times New Roman" w:eastAsia="Times New Roman" w:hAnsi="Times New Roman"/>
          <w:sz w:val="18"/>
          <w:szCs w:val="18"/>
        </w:rPr>
        <w:t xml:space="preserve">J. C. S. Santos et al., </w:t>
      </w:r>
      <w:r>
        <w:rPr>
          <w:rFonts w:ascii="Times New Roman" w:cs="Times New Roman" w:eastAsia="Times New Roman" w:hAnsi="Times New Roman"/>
          <w:i/>
          <w:iCs/>
          <w:sz w:val="18"/>
          <w:szCs w:val="18"/>
        </w:rPr>
        <w:t xml:space="preserve">“Understanding Software Vulnerabilities Related to Architectural Security Tactics,” </w:t>
      </w:r>
      <w:r>
        <w:rPr>
          <w:rFonts w:ascii="Times New Roman" w:cs="Times New Roman" w:eastAsia="Times New Roman" w:hAnsi="Times New Roman"/>
          <w:sz w:val="18"/>
          <w:szCs w:val="18"/>
        </w:rPr>
        <w:t xml:space="preserve">in Proc. IEEE International Conference on Software Architecture, 2017.</w:t>
      </w:r>
    </w:p>
    <w:p>
      <w:pPr>
        <w:spacing w:after="80" w:line="240"/>
        <w:ind w:left="360" w:hanging="360"/>
      </w:pPr>
      <w:r>
        <w:rPr>
          <w:rFonts w:ascii="Times New Roman" w:cs="Times New Roman" w:eastAsia="Times New Roman" w:hAnsi="Times New Roman"/>
          <w:sz w:val="18"/>
          <w:szCs w:val="18"/>
        </w:rPr>
        <w:t xml:space="preserve">[10] </w:t>
      </w:r>
      <w:r>
        <w:rPr>
          <w:rFonts w:ascii="Times New Roman" w:cs="Times New Roman" w:eastAsia="Times New Roman" w:hAnsi="Times New Roman"/>
          <w:sz w:val="18"/>
          <w:szCs w:val="18"/>
        </w:rPr>
        <w:t xml:space="preserve">A. Narayanan and V. Shmatikov, </w:t>
      </w:r>
      <w:r>
        <w:rPr>
          <w:rFonts w:ascii="Times New Roman" w:cs="Times New Roman" w:eastAsia="Times New Roman" w:hAnsi="Times New Roman"/>
          <w:i/>
          <w:iCs/>
          <w:sz w:val="18"/>
          <w:szCs w:val="18"/>
        </w:rPr>
        <w:t xml:space="preserve">“Robust De-anonymization of Large Sparse Datasets,” </w:t>
      </w:r>
      <w:r>
        <w:rPr>
          <w:rFonts w:ascii="Times New Roman" w:cs="Times New Roman" w:eastAsia="Times New Roman" w:hAnsi="Times New Roman"/>
          <w:sz w:val="18"/>
          <w:szCs w:val="18"/>
        </w:rPr>
        <w:t xml:space="preserve">in Proc. IEEE Symposium on Security and Privacy, 2008.</w:t>
      </w:r>
    </w:p>
    <w:p>
      <w:pPr>
        <w:spacing w:after="80" w:line="240"/>
        <w:ind w:left="360" w:hanging="360"/>
      </w:pPr>
      <w:r>
        <w:rPr>
          <w:rFonts w:ascii="Times New Roman" w:cs="Times New Roman" w:eastAsia="Times New Roman" w:hAnsi="Times New Roman"/>
          <w:sz w:val="18"/>
          <w:szCs w:val="18"/>
        </w:rPr>
        <w:t xml:space="preserve">[11] </w:t>
      </w:r>
      <w:r>
        <w:rPr>
          <w:rFonts w:ascii="Times New Roman" w:cs="Times New Roman" w:eastAsia="Times New Roman" w:hAnsi="Times New Roman"/>
          <w:sz w:val="18"/>
          <w:szCs w:val="18"/>
        </w:rPr>
        <w:t xml:space="preserve">C. Boswell, </w:t>
      </w:r>
      <w:r>
        <w:rPr>
          <w:rFonts w:ascii="Times New Roman" w:cs="Times New Roman" w:eastAsia="Times New Roman" w:hAnsi="Times New Roman"/>
          <w:i/>
          <w:iCs/>
          <w:sz w:val="18"/>
          <w:szCs w:val="18"/>
        </w:rPr>
        <w:t xml:space="preserve">“Protocol-Governed AI-Assisted Software Architecture: The Forge Ecosystem Methodology,” </w:t>
      </w:r>
      <w:r>
        <w:rPr>
          <w:rFonts w:ascii="Times New Roman" w:cs="Times New Roman" w:eastAsia="Times New Roman" w:hAnsi="Times New Roman"/>
          <w:sz w:val="18"/>
          <w:szCs w:val="18"/>
        </w:rPr>
        <w:t xml:space="preserve">Boswell Digital Solutions LLC, Technical Report, 2026.</w:t>
      </w:r>
    </w:p>
    <w:p>
      <w:pPr>
        <w:spacing w:after="80" w:line="240"/>
        <w:ind w:left="360" w:hanging="360"/>
      </w:pPr>
      <w:r>
        <w:rPr>
          <w:rFonts w:ascii="Times New Roman" w:cs="Times New Roman" w:eastAsia="Times New Roman" w:hAnsi="Times New Roman"/>
          <w:sz w:val="18"/>
          <w:szCs w:val="18"/>
        </w:rPr>
        <w:t xml:space="preserve">[12] </w:t>
      </w:r>
      <w:r>
        <w:rPr>
          <w:rFonts w:ascii="Times New Roman" w:cs="Times New Roman" w:eastAsia="Times New Roman" w:hAnsi="Times New Roman"/>
          <w:sz w:val="18"/>
          <w:szCs w:val="18"/>
        </w:rPr>
        <w:t xml:space="preserve">ISO/IEC 27001:2022, </w:t>
      </w:r>
      <w:r>
        <w:rPr>
          <w:rFonts w:ascii="Times New Roman" w:cs="Times New Roman" w:eastAsia="Times New Roman" w:hAnsi="Times New Roman"/>
          <w:i/>
          <w:iCs/>
          <w:sz w:val="18"/>
          <w:szCs w:val="18"/>
        </w:rPr>
        <w:t xml:space="preserve">“Information Security, Cybersecurity and Privacy Protection—Information Security Management Systems—Requirements,” </w:t>
      </w:r>
      <w:r>
        <w:rPr>
          <w:rFonts w:ascii="Times New Roman" w:cs="Times New Roman" w:eastAsia="Times New Roman" w:hAnsi="Times New Roman"/>
          <w:sz w:val="18"/>
          <w:szCs w:val="18"/>
        </w:rPr>
        <w:t xml:space="preserve">International Organization for Standardization, 2022.</w:t>
      </w:r>
    </w:p>
    <w:sectPr>
      <w:type w:val="continuous"/>
      <w:pgSz w:w="12240" w:h="15840" w:orient="portrait"/>
      <w:pgMar w:top="1152" w:right="907" w:bottom="1152" w:left="907" w:header="708" w:footer="708" w:gutter="0"/>
      <w:pgNumType/>
      <w:cols w:space="360" w:num="2" w:sep="false" w:equalWidth="tru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16"/>
        <w:szCs w:val="16"/>
      </w:rPr>
      <w:t xml:space="preserve">Page </w:t>
    </w:r>
    <w:r>
      <w:rPr>
        <w:rFonts w:ascii="Times New Roman" w:cs="Times New Roman" w:eastAsia="Times New Roman" w:hAnsi="Times New Roman"/>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center"/>
    </w:pPr>
    <w:r>
      <w:rPr>
        <w:rFonts w:ascii="Times New Roman" w:cs="Times New Roman" w:eastAsia="Times New Roman" w:hAnsi="Times New Roman"/>
        <w:i/>
        <w:iCs/>
        <w:color w:val="666666"/>
        <w:sz w:val="16"/>
        <w:szCs w:val="16"/>
      </w:rPr>
      <w:t xml:space="preserve">IEEE White Paper — Boswell Digital Solutions LLC</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2026-02-28T21:43:11.777Z</dcterms:created>
  <dcterms:modified xsi:type="dcterms:W3CDTF">2026-02-28T21:43:11.778Z</dcterms:modified>
</cp:coreProperties>
</file>

<file path=docProps/custom.xml><?xml version="1.0" encoding="utf-8"?>
<Properties xmlns="http://schemas.openxmlformats.org/officeDocument/2006/custom-properties" xmlns:vt="http://schemas.openxmlformats.org/officeDocument/2006/docPropsVTypes"/>
</file>